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E0B8" w14:textId="77777777" w:rsidR="0009470D" w:rsidRDefault="00197531" w:rsidP="00A66941">
      <w:pPr>
        <w:ind w:right="419"/>
        <w:rPr>
          <w:b/>
          <w:color w:val="AF272F"/>
          <w:sz w:val="36"/>
          <w:szCs w:val="44"/>
        </w:rPr>
      </w:pPr>
      <w:r>
        <w:rPr>
          <w:noProof/>
          <w:lang w:val="en-AU" w:eastAsia="en-AU"/>
        </w:rPr>
        <w:drawing>
          <wp:anchor distT="0" distB="0" distL="114300" distR="114300" simplePos="0" relativeHeight="251665408" behindDoc="1" locked="0" layoutInCell="1" allowOverlap="1" wp14:anchorId="10BBF736" wp14:editId="16079BAD">
            <wp:simplePos x="0" y="0"/>
            <wp:positionH relativeFrom="column">
              <wp:posOffset>4791075</wp:posOffset>
            </wp:positionH>
            <wp:positionV relativeFrom="paragraph">
              <wp:posOffset>24130</wp:posOffset>
            </wp:positionV>
            <wp:extent cx="1854835" cy="627380"/>
            <wp:effectExtent l="0" t="0" r="0" b="1270"/>
            <wp:wrapNone/>
            <wp:docPr id="3" name="img9.png"/>
            <wp:cNvGraphicFramePr/>
            <a:graphic xmlns:a="http://schemas.openxmlformats.org/drawingml/2006/main">
              <a:graphicData uri="http://schemas.openxmlformats.org/drawingml/2006/picture">
                <pic:pic xmlns:pic="http://schemas.openxmlformats.org/drawingml/2006/picture">
                  <pic:nvPicPr>
                    <pic:cNvPr id="7" name="img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4835" cy="627380"/>
                    </a:xfrm>
                    <a:prstGeom prst="rect">
                      <a:avLst/>
                    </a:prstGeom>
                  </pic:spPr>
                </pic:pic>
              </a:graphicData>
            </a:graphic>
          </wp:anchor>
        </w:drawing>
      </w:r>
      <w:r w:rsidRPr="003E2621">
        <w:rPr>
          <w:b/>
          <w:noProof/>
          <w:color w:val="AF272F"/>
          <w:sz w:val="36"/>
          <w:szCs w:val="36"/>
        </w:rPr>
        <w:t>2021</w:t>
      </w:r>
      <w:r>
        <w:rPr>
          <w:b/>
          <w:color w:val="AF272F"/>
          <w:sz w:val="36"/>
          <w:szCs w:val="36"/>
        </w:rPr>
        <w:t xml:space="preserve"> </w:t>
      </w:r>
      <w:r w:rsidRPr="003E2621">
        <w:rPr>
          <w:b/>
          <w:color w:val="AF272F"/>
          <w:sz w:val="36"/>
          <w:szCs w:val="44"/>
        </w:rPr>
        <w:t xml:space="preserve">Annual </w:t>
      </w:r>
      <w:r>
        <w:rPr>
          <w:b/>
          <w:color w:val="AF272F"/>
          <w:sz w:val="36"/>
          <w:szCs w:val="44"/>
        </w:rPr>
        <w:t>Report to</w:t>
      </w:r>
    </w:p>
    <w:p w14:paraId="78CEBC58" w14:textId="77777777" w:rsidR="00B076DB" w:rsidRDefault="00197531" w:rsidP="00A66941">
      <w:pPr>
        <w:ind w:right="419"/>
        <w:rPr>
          <w:color w:val="595959" w:themeColor="text1" w:themeTint="A6"/>
          <w:sz w:val="28"/>
          <w:szCs w:val="28"/>
        </w:rPr>
      </w:pPr>
      <w:r w:rsidRPr="00BE480F">
        <w:rPr>
          <w:noProof/>
          <w:lang w:val="en-AU" w:eastAsia="en-AU"/>
        </w:rPr>
        <w:drawing>
          <wp:anchor distT="0" distB="0" distL="114300" distR="114300" simplePos="0" relativeHeight="251663360" behindDoc="1" locked="0" layoutInCell="1" allowOverlap="1" wp14:anchorId="3CEBF325" wp14:editId="42DBAE3B">
            <wp:simplePos x="0" y="0"/>
            <wp:positionH relativeFrom="margin">
              <wp:posOffset>-354965</wp:posOffset>
            </wp:positionH>
            <wp:positionV relativeFrom="paragraph">
              <wp:posOffset>5173345</wp:posOffset>
            </wp:positionV>
            <wp:extent cx="1819275" cy="4406265"/>
            <wp:effectExtent l="0" t="0" r="9525" b="0"/>
            <wp:wrapNone/>
            <wp:docPr id="5" name="img10.png"/>
            <wp:cNvGraphicFramePr/>
            <a:graphic xmlns:a="http://schemas.openxmlformats.org/drawingml/2006/main">
              <a:graphicData uri="http://schemas.openxmlformats.org/drawingml/2006/picture">
                <pic:pic xmlns:pic="http://schemas.openxmlformats.org/drawingml/2006/picture">
                  <pic:nvPicPr>
                    <pic:cNvPr id="9" name="img1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9275" cy="4406265"/>
                    </a:xfrm>
                    <a:prstGeom prst="rect">
                      <a:avLst/>
                    </a:prstGeom>
                  </pic:spPr>
                </pic:pic>
              </a:graphicData>
            </a:graphic>
          </wp:anchor>
        </w:drawing>
      </w:r>
      <w:r>
        <w:rPr>
          <w:b/>
          <w:color w:val="AF272F"/>
          <w:sz w:val="36"/>
          <w:szCs w:val="44"/>
        </w:rPr>
        <w:t>The School Community</w:t>
      </w:r>
      <w:r>
        <w:rPr>
          <w:b/>
          <w:color w:val="AF272F"/>
          <w:sz w:val="36"/>
          <w:szCs w:val="44"/>
        </w:rPr>
        <w:br/>
      </w:r>
      <w:r>
        <w:rPr>
          <w:b/>
          <w:color w:val="AF272F"/>
          <w:sz w:val="32"/>
          <w:szCs w:val="32"/>
        </w:rPr>
        <w:br/>
      </w:r>
      <w:r w:rsidRPr="009B22B6">
        <w:rPr>
          <w:b/>
          <w:noProof/>
          <w:color w:val="AF272F"/>
          <w:sz w:val="28"/>
          <w:szCs w:val="28"/>
        </w:rPr>
        <w:t>School Name: Hampden Specialist School (5276)</w:t>
      </w:r>
      <w:r>
        <w:rPr>
          <w:color w:val="595959" w:themeColor="text1" w:themeTint="A6"/>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46"/>
      </w:tblGrid>
      <w:tr w:rsidR="0024609D" w14:paraId="5B60A6D0" w14:textId="77777777" w:rsidTr="00130771">
        <w:trPr>
          <w:trHeight w:val="11387"/>
        </w:trPr>
        <w:tc>
          <w:tcPr>
            <w:tcW w:w="3544" w:type="dxa"/>
          </w:tcPr>
          <w:p w14:paraId="2E1C8371" w14:textId="77777777" w:rsidR="00BE480F" w:rsidRPr="00BE480F" w:rsidRDefault="00197531" w:rsidP="00A074DE">
            <w:pPr>
              <w:ind w:left="-509" w:right="419"/>
              <w:jc w:val="center"/>
              <w:rPr>
                <w:color w:val="595959" w:themeColor="text1" w:themeTint="A6"/>
              </w:rPr>
            </w:pPr>
            <w:r>
              <w:rPr>
                <w:noProof/>
                <w:lang w:val="en-AU" w:eastAsia="en-AU"/>
              </w:rPr>
              <mc:AlternateContent>
                <mc:Choice Requires="wps">
                  <w:drawing>
                    <wp:anchor distT="0" distB="0" distL="114300" distR="114300" simplePos="0" relativeHeight="251659264" behindDoc="0" locked="0" layoutInCell="1" allowOverlap="1" wp14:anchorId="00B7D478" wp14:editId="275EBA90">
                      <wp:simplePos x="0" y="0"/>
                      <wp:positionH relativeFrom="margin">
                        <wp:posOffset>-139700</wp:posOffset>
                      </wp:positionH>
                      <wp:positionV relativeFrom="paragraph">
                        <wp:posOffset>1666240</wp:posOffset>
                      </wp:positionV>
                      <wp:extent cx="7147560" cy="52793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527939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24609D" w14:paraId="4FD56717" w14:textId="77777777" w:rsidTr="00130771">
                                    <w:trPr>
                                      <w:trHeight w:val="18"/>
                                    </w:trPr>
                                    <w:tc>
                                      <w:tcPr>
                                        <w:tcW w:w="10773" w:type="dxa"/>
                                        <w:vAlign w:val="center"/>
                                      </w:tcPr>
                                      <w:p w14:paraId="6BEAA714" w14:textId="77777777" w:rsidR="00A66941" w:rsidRPr="009D4C10" w:rsidRDefault="00197531" w:rsidP="007C1665">
                                        <w:pPr>
                                          <w:numPr>
                                            <w:ilvl w:val="0"/>
                                            <w:numId w:val="25"/>
                                          </w:numPr>
                                          <w:spacing w:after="0" w:line="240" w:lineRule="auto"/>
                                          <w:ind w:left="301"/>
                                        </w:pPr>
                                        <w:r w:rsidRPr="009D4C10">
                                          <w:t>All teachers at the school meet the registration requirements of the Victorian Institute of Teaching (</w:t>
                                        </w:r>
                                        <w:hyperlink r:id="rId14" w:tgtFrame="_blank" w:history="1">
                                          <w:r w:rsidRPr="009D4C10">
                                            <w:rPr>
                                              <w:rStyle w:val="Hyperlink"/>
                                            </w:rPr>
                                            <w:t>www.vit.vic.edu.au</w:t>
                                          </w:r>
                                        </w:hyperlink>
                                        <w:r w:rsidRPr="009D4C10">
                                          <w:t>).</w:t>
                                        </w:r>
                                      </w:p>
                                      <w:p w14:paraId="24188994" w14:textId="77777777" w:rsidR="00A66941" w:rsidRPr="009D4C10" w:rsidRDefault="00197531"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Education and Training Reform (ETR) Act 2006. This includes schools granted an exemption by the VRQA until 31 December </w:t>
                                        </w:r>
                                        <w:r w:rsidRPr="00875D00">
                                          <w:rPr>
                                            <w:noProof/>
                                          </w:rPr>
                                          <w:t>2021</w:t>
                                        </w:r>
                                        <w:r w:rsidRPr="00875D00">
                                          <w:t xml:space="preserve"> from</w:t>
                                        </w:r>
                                        <w:r w:rsidRPr="009D4C10">
                                          <w:t xml:space="preserve"> the minimum standards for student enrolment numbers and/or curriculum framework for school language program.</w:t>
                                        </w:r>
                                      </w:p>
                                      <w:p w14:paraId="5C62A80A" w14:textId="77777777" w:rsidR="00A66941" w:rsidRDefault="00197531" w:rsidP="007C1665">
                                        <w:pPr>
                                          <w:numPr>
                                            <w:ilvl w:val="0"/>
                                            <w:numId w:val="25"/>
                                          </w:numPr>
                                          <w:spacing w:after="0" w:line="240" w:lineRule="auto"/>
                                          <w:ind w:left="301"/>
                                          <w:rPr>
                                            <w:color w:val="333333"/>
                                            <w:sz w:val="16"/>
                                            <w:szCs w:val="16"/>
                                          </w:rPr>
                                        </w:pPr>
                                        <w:r w:rsidRPr="009D4C10">
                                          <w:t>The school is compliant with the Child Safe Standards prescribed in Ministerial Order No. 870 – Child Safe Standards, Managing Risk of Child Abuse in School</w:t>
                                        </w:r>
                                        <w:r>
                                          <w:t>.</w:t>
                                        </w:r>
                                      </w:p>
                                    </w:tc>
                                  </w:tr>
                                  <w:tr w:rsidR="0024609D" w14:paraId="723C6FAD" w14:textId="77777777" w:rsidTr="00130771">
                                    <w:trPr>
                                      <w:trHeight w:val="48"/>
                                    </w:trPr>
                                    <w:tc>
                                      <w:tcPr>
                                        <w:tcW w:w="10773" w:type="dxa"/>
                                      </w:tcPr>
                                      <w:p w14:paraId="48E0C6EE" w14:textId="77777777" w:rsidR="00A66941" w:rsidRDefault="00197531"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28 April 2022 at 10:39 AM by Kylie Carter (Principal)</w:t>
                                        </w:r>
                                      </w:p>
                                    </w:tc>
                                  </w:tr>
                                </w:tbl>
                                <w:p w14:paraId="13952A2D" w14:textId="77777777" w:rsidR="00A66941" w:rsidRDefault="003E51D2"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24609D" w14:paraId="28B287E1" w14:textId="77777777" w:rsidTr="00130771">
                                    <w:trPr>
                                      <w:trHeight w:val="114"/>
                                    </w:trPr>
                                    <w:tc>
                                      <w:tcPr>
                                        <w:tcW w:w="10773" w:type="dxa"/>
                                        <w:vAlign w:val="center"/>
                                      </w:tcPr>
                                      <w:p w14:paraId="5C7FAA3B" w14:textId="77777777" w:rsidR="00A66941" w:rsidRDefault="00197531" w:rsidP="007C1665">
                                        <w:pPr>
                                          <w:numPr>
                                            <w:ilvl w:val="0"/>
                                            <w:numId w:val="26"/>
                                          </w:numPr>
                                          <w:spacing w:after="0" w:line="240" w:lineRule="auto"/>
                                          <w:ind w:left="301"/>
                                          <w:rPr>
                                            <w:color w:val="333333"/>
                                            <w:sz w:val="16"/>
                                            <w:szCs w:val="16"/>
                                          </w:rPr>
                                        </w:pPr>
                                        <w:r>
                                          <w:t xml:space="preserve">This 2021 Annual Report to the School Community has been tabled and endorsed at a meeting of the school council and will be publicly shared with the school community  </w:t>
                                        </w:r>
                                      </w:p>
                                    </w:tc>
                                  </w:tr>
                                  <w:tr w:rsidR="0024609D" w14:paraId="5DE97CC4" w14:textId="77777777" w:rsidTr="00130771">
                                    <w:trPr>
                                      <w:trHeight w:val="274"/>
                                    </w:trPr>
                                    <w:tc>
                                      <w:tcPr>
                                        <w:tcW w:w="10773" w:type="dxa"/>
                                      </w:tcPr>
                                      <w:p w14:paraId="64139289" w14:textId="77777777" w:rsidR="00A66941" w:rsidRDefault="00197531"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02 May 2022 at 08:47 PM by Anthony O'Connor (School Council President)</w:t>
                                        </w:r>
                                      </w:p>
                                    </w:tc>
                                  </w:tr>
                                </w:tbl>
                                <w:p w14:paraId="616453BA" w14:textId="77777777" w:rsidR="00A66941" w:rsidRDefault="003E51D2" w:rsidP="00177D7F"/>
                              </w:txbxContent>
                            </wps:txbx>
                            <wps:bodyPr rot="0" vert="horz" wrap="square" anchor="t" anchorCtr="0" upright="1"/>
                          </wps:wsp>
                        </a:graphicData>
                      </a:graphic>
                    </wp:anchor>
                  </w:drawing>
                </mc:Choice>
                <mc:Fallback>
                  <w:pict>
                    <v:shapetype w14:anchorId="00B7D478" id="_x0000_t202" coordsize="21600,21600" o:spt="202" path="m,l,21600r21600,l21600,xe">
                      <v:stroke joinstyle="miter"/>
                      <v:path gradientshapeok="t" o:connecttype="rect"/>
                    </v:shapetype>
                    <v:shape id="Text Box 1" o:spid="_x0000_s1026" type="#_x0000_t202" style="position:absolute;left:0;text-align:left;margin-left:-11pt;margin-top:131.2pt;width:562.8pt;height:415.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" filled="f" fillcolor="white [3201]" stroked="f" strokeweight=".5pt">
                      <v:textbo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24609D" w14:paraId="4FD56717" w14:textId="77777777" w:rsidTr="00130771">
                              <w:trPr>
                                <w:trHeight w:val="18"/>
                              </w:trPr>
                              <w:tc>
                                <w:tcPr>
                                  <w:tcW w:w="10773" w:type="dxa"/>
                                  <w:vAlign w:val="center"/>
                                </w:tcPr>
                                <w:p w14:paraId="6BEAA714" w14:textId="77777777" w:rsidR="00A66941" w:rsidRPr="009D4C10" w:rsidRDefault="00197531" w:rsidP="007C1665">
                                  <w:pPr>
                                    <w:numPr>
                                      <w:ilvl w:val="0"/>
                                      <w:numId w:val="25"/>
                                    </w:numPr>
                                    <w:spacing w:after="0" w:line="240" w:lineRule="auto"/>
                                    <w:ind w:left="301"/>
                                  </w:pPr>
                                  <w:r w:rsidRPr="009D4C10">
                                    <w:t>All teachers at the school meet the registration requirements of the Victorian Institute of Teaching (</w:t>
                                  </w:r>
                                  <w:hyperlink r:id="rId15" w:tgtFrame="_blank" w:history="1">
                                    <w:r w:rsidRPr="009D4C10">
                                      <w:rPr>
                                        <w:rStyle w:val="Hyperlink"/>
                                      </w:rPr>
                                      <w:t>www.vit.vic.edu.au</w:t>
                                    </w:r>
                                  </w:hyperlink>
                                  <w:r w:rsidRPr="009D4C10">
                                    <w:t>).</w:t>
                                  </w:r>
                                </w:p>
                                <w:p w14:paraId="24188994" w14:textId="77777777" w:rsidR="00A66941" w:rsidRPr="009D4C10" w:rsidRDefault="00197531"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Education and Training Reform (ETR) Act 2006. This includes schools granted an exemption by the VRQA until 31 December </w:t>
                                  </w:r>
                                  <w:r w:rsidRPr="00875D00">
                                    <w:rPr>
                                      <w:noProof/>
                                    </w:rPr>
                                    <w:t>2021</w:t>
                                  </w:r>
                                  <w:r w:rsidRPr="00875D00">
                                    <w:t xml:space="preserve"> from</w:t>
                                  </w:r>
                                  <w:r w:rsidRPr="009D4C10">
                                    <w:t xml:space="preserve"> the minimum standards for student enrolment numbers and/or curriculum framework for school language program.</w:t>
                                  </w:r>
                                </w:p>
                                <w:p w14:paraId="5C62A80A" w14:textId="77777777" w:rsidR="00A66941" w:rsidRDefault="00197531" w:rsidP="007C1665">
                                  <w:pPr>
                                    <w:numPr>
                                      <w:ilvl w:val="0"/>
                                      <w:numId w:val="25"/>
                                    </w:numPr>
                                    <w:spacing w:after="0" w:line="240" w:lineRule="auto"/>
                                    <w:ind w:left="301"/>
                                    <w:rPr>
                                      <w:color w:val="333333"/>
                                      <w:sz w:val="16"/>
                                      <w:szCs w:val="16"/>
                                    </w:rPr>
                                  </w:pPr>
                                  <w:r w:rsidRPr="009D4C10">
                                    <w:t>The school is compliant with the Child Safe Standards prescribed in Ministerial Order No. 870 – Child Safe Standards, Managing Risk of Child Abuse in School</w:t>
                                  </w:r>
                                  <w:r>
                                    <w:t>.</w:t>
                                  </w:r>
                                </w:p>
                              </w:tc>
                            </w:tr>
                            <w:tr w:rsidR="0024609D" w14:paraId="723C6FAD" w14:textId="77777777" w:rsidTr="00130771">
                              <w:trPr>
                                <w:trHeight w:val="48"/>
                              </w:trPr>
                              <w:tc>
                                <w:tcPr>
                                  <w:tcW w:w="10773" w:type="dxa"/>
                                </w:tcPr>
                                <w:p w14:paraId="48E0C6EE" w14:textId="77777777" w:rsidR="00A66941" w:rsidRDefault="00197531"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28 April 2022 at 10:39 AM by Kylie Carter (Principal)</w:t>
                                  </w:r>
                                </w:p>
                              </w:tc>
                            </w:tr>
                          </w:tbl>
                          <w:p w14:paraId="13952A2D" w14:textId="77777777" w:rsidR="00A66941" w:rsidRDefault="003E51D2"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24609D" w14:paraId="28B287E1" w14:textId="77777777" w:rsidTr="00130771">
                              <w:trPr>
                                <w:trHeight w:val="114"/>
                              </w:trPr>
                              <w:tc>
                                <w:tcPr>
                                  <w:tcW w:w="10773" w:type="dxa"/>
                                  <w:vAlign w:val="center"/>
                                </w:tcPr>
                                <w:p w14:paraId="5C7FAA3B" w14:textId="77777777" w:rsidR="00A66941" w:rsidRDefault="00197531" w:rsidP="007C1665">
                                  <w:pPr>
                                    <w:numPr>
                                      <w:ilvl w:val="0"/>
                                      <w:numId w:val="26"/>
                                    </w:numPr>
                                    <w:spacing w:after="0" w:line="240" w:lineRule="auto"/>
                                    <w:ind w:left="301"/>
                                    <w:rPr>
                                      <w:color w:val="333333"/>
                                      <w:sz w:val="16"/>
                                      <w:szCs w:val="16"/>
                                    </w:rPr>
                                  </w:pPr>
                                  <w:r>
                                    <w:t xml:space="preserve">This 2021 Annual Report to the School Community has been tabled and endorsed at a meeting of the school council and will be publicly shared with the school community  </w:t>
                                  </w:r>
                                </w:p>
                              </w:tc>
                            </w:tr>
                            <w:tr w:rsidR="0024609D" w14:paraId="5DE97CC4" w14:textId="77777777" w:rsidTr="00130771">
                              <w:trPr>
                                <w:trHeight w:val="274"/>
                              </w:trPr>
                              <w:tc>
                                <w:tcPr>
                                  <w:tcW w:w="10773" w:type="dxa"/>
                                </w:tcPr>
                                <w:p w14:paraId="64139289" w14:textId="77777777" w:rsidR="00A66941" w:rsidRDefault="00197531"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02 May 2022 at 08:47 PM by Anthony O'Connor (School Council President)</w:t>
                                  </w:r>
                                </w:p>
                              </w:tc>
                            </w:tr>
                          </w:tbl>
                          <w:p w14:paraId="616453BA" w14:textId="77777777" w:rsidR="00A66941" w:rsidRDefault="003E51D2" w:rsidP="00177D7F"/>
                        </w:txbxContent>
                      </v:textbox>
                      <w10:wrap anchorx="margin"/>
                    </v:shape>
                  </w:pict>
                </mc:Fallback>
              </mc:AlternateContent>
            </w:r>
            <w:r>
              <w:rPr>
                <w:noProof/>
                <w:color w:val="595959" w:themeColor="text1" w:themeTint="A6"/>
              </w:rPr>
              <w:drawing>
                <wp:anchor distT="0" distB="0" distL="114300" distR="114300" simplePos="0" relativeHeight="251660288" behindDoc="1" locked="0" layoutInCell="1" allowOverlap="1" wp14:anchorId="7827FE47" wp14:editId="3152D893">
                  <wp:simplePos x="0" y="0"/>
                  <wp:positionH relativeFrom="page">
                    <wp:align>left</wp:align>
                  </wp:positionH>
                  <wp:positionV relativeFrom="paragraph">
                    <wp:posOffset>0</wp:posOffset>
                  </wp:positionV>
                  <wp:extent cx="1428949" cy="1057423"/>
                  <wp:effectExtent l="0" t="0" r="0" b="0"/>
                  <wp:wrapNone/>
                  <wp:docPr id="100020" name="Picture 100020"/>
                  <wp:cNvGraphicFramePr/>
                  <a:graphic xmlns:a="http://schemas.openxmlformats.org/drawingml/2006/main">
                    <a:graphicData uri="http://schemas.openxmlformats.org/drawingml/2006/picture">
                      <pic:pic xmlns:pic="http://schemas.openxmlformats.org/drawingml/2006/picture">
                        <pic:nvPicPr>
                          <pic:cNvPr id="100020" name=""/>
                          <pic:cNvPicPr/>
                        </pic:nvPicPr>
                        <pic:blipFill>
                          <a:blip r:embed="rId16"/>
                          <a:stretch>
                            <a:fillRect/>
                          </a:stretch>
                        </pic:blipFill>
                        <pic:spPr>
                          <a:xfrm>
                            <a:off x="0" y="0"/>
                            <a:ext cx="1428949" cy="1057423"/>
                          </a:xfrm>
                          <a:prstGeom prst="rect">
                            <a:avLst/>
                          </a:prstGeom>
                        </pic:spPr>
                      </pic:pic>
                    </a:graphicData>
                  </a:graphic>
                </wp:anchor>
              </w:drawing>
            </w:r>
          </w:p>
        </w:tc>
        <w:tc>
          <w:tcPr>
            <w:tcW w:w="6946" w:type="dxa"/>
          </w:tcPr>
          <w:p w14:paraId="16EB491D" w14:textId="77777777" w:rsidR="00BE480F" w:rsidRDefault="003E51D2" w:rsidP="006932E3">
            <w:pPr>
              <w:ind w:right="419"/>
              <w:rPr>
                <w:color w:val="595959" w:themeColor="text1" w:themeTint="A6"/>
              </w:rPr>
            </w:pPr>
          </w:p>
        </w:tc>
      </w:tr>
    </w:tbl>
    <w:p w14:paraId="25EC6C21" w14:textId="77777777" w:rsidR="00BE480F" w:rsidRDefault="003E51D2" w:rsidP="00AF1438">
      <w:pPr>
        <w:ind w:left="540" w:right="419"/>
        <w:rPr>
          <w:color w:val="595959" w:themeColor="text1" w:themeTint="A6"/>
        </w:rPr>
      </w:pPr>
    </w:p>
    <w:p w14:paraId="79FCFD69" w14:textId="77777777" w:rsidR="00481904" w:rsidRDefault="003E51D2" w:rsidP="00BF76C7">
      <w:pPr>
        <w:pStyle w:val="ESHeading2"/>
        <w:jc w:val="center"/>
        <w:sectPr w:rsidR="00481904" w:rsidSect="00B402B7">
          <w:headerReference w:type="even" r:id="rId17"/>
          <w:headerReference w:type="default" r:id="rId18"/>
          <w:footerReference w:type="even" r:id="rId19"/>
          <w:footerReference w:type="default" r:id="rId20"/>
          <w:headerReference w:type="first" r:id="rId21"/>
          <w:pgSz w:w="11906" w:h="16838" w:code="9"/>
          <w:pgMar w:top="1005" w:right="737" w:bottom="1304" w:left="562" w:header="624" w:footer="1134" w:gutter="0"/>
          <w:cols w:space="397"/>
          <w:docGrid w:linePitch="360"/>
        </w:sectPr>
      </w:pPr>
    </w:p>
    <w:p w14:paraId="799293A9" w14:textId="77777777" w:rsidR="005568AC" w:rsidRDefault="00197531" w:rsidP="000203C1">
      <w:pPr>
        <w:pStyle w:val="ESHeading10"/>
        <w:spacing w:after="0" w:line="240" w:lineRule="auto"/>
      </w:pPr>
      <w:r>
        <w:lastRenderedPageBreak/>
        <w:t>How to read the Annual Report</w:t>
      </w:r>
    </w:p>
    <w:p w14:paraId="0737B79A" w14:textId="77777777" w:rsidR="005568AC" w:rsidRPr="006825C7" w:rsidRDefault="00197531" w:rsidP="0037643B">
      <w:pPr>
        <w:pStyle w:val="Style10"/>
        <w:spacing w:before="0" w:after="120"/>
      </w:pPr>
      <w:r w:rsidRPr="006825C7">
        <w:t xml:space="preserve">What does the </w:t>
      </w:r>
      <w:r>
        <w:rPr>
          <w:i/>
          <w:iCs/>
        </w:rPr>
        <w:t>‘A</w:t>
      </w:r>
      <w:r w:rsidRPr="00F04D52">
        <w:rPr>
          <w:i/>
          <w:iCs/>
        </w:rPr>
        <w:t>bout Our School</w:t>
      </w:r>
      <w:r>
        <w:rPr>
          <w:i/>
          <w:iCs/>
        </w:rPr>
        <w:t>’</w:t>
      </w:r>
      <w:r w:rsidRPr="006825C7">
        <w:t xml:space="preserve"> </w:t>
      </w:r>
      <w:r>
        <w:t xml:space="preserve">commentary </w:t>
      </w:r>
      <w:r w:rsidRPr="006825C7">
        <w:t xml:space="preserve">section </w:t>
      </w:r>
      <w:r>
        <w:t xml:space="preserve">of this report </w:t>
      </w:r>
      <w:r w:rsidRPr="00B637FF">
        <w:t>refer</w:t>
      </w:r>
      <w:r w:rsidRPr="006825C7">
        <w:t xml:space="preserve"> to?</w:t>
      </w:r>
    </w:p>
    <w:p w14:paraId="7F8B5680" w14:textId="77777777" w:rsidR="000203C1" w:rsidRPr="00783E13" w:rsidRDefault="00197531" w:rsidP="000203C1">
      <w:pPr>
        <w:pStyle w:val="ESBodyText0"/>
        <w:spacing w:line="240" w:lineRule="auto"/>
      </w:pPr>
      <w:bookmarkStart w:id="0" w:name="_Hlk64366941"/>
      <w:r w:rsidRPr="00783E13">
        <w:t xml:space="preserve">The </w:t>
      </w:r>
      <w:r>
        <w:t>‘</w:t>
      </w:r>
      <w:r w:rsidRPr="00783E13">
        <w:t xml:space="preserve">About </w:t>
      </w:r>
      <w:r>
        <w:t>our school’</w:t>
      </w:r>
      <w:r w:rsidRPr="00783E13">
        <w:t xml:space="preserve"> </w:t>
      </w:r>
      <w:r>
        <w:t xml:space="preserve">commentary </w:t>
      </w:r>
      <w:r w:rsidRPr="00783E13">
        <w:t>provides a brief background on the school, an outline of the school’s performance over the year and future directions.</w:t>
      </w:r>
    </w:p>
    <w:p w14:paraId="1F825840" w14:textId="77777777" w:rsidR="000203C1" w:rsidRPr="00783E13" w:rsidRDefault="00197531" w:rsidP="000203C1">
      <w:pPr>
        <w:pStyle w:val="ESBodyText0"/>
        <w:spacing w:line="240" w:lineRule="auto"/>
      </w:pPr>
      <w:r w:rsidRPr="00783E13">
        <w:t>The ‘School Context’ describes the school’s vision, values and purpose. Details include the school’s geographic location, size and structure, social characteristics, enrolment characteristics and special programs.</w:t>
      </w:r>
    </w:p>
    <w:p w14:paraId="66804A84" w14:textId="77777777" w:rsidR="00B637FF" w:rsidRDefault="00197531" w:rsidP="000203C1">
      <w:pPr>
        <w:pStyle w:val="ESBodyText0"/>
        <w:spacing w:after="360" w:line="240" w:lineRule="auto"/>
      </w:pPr>
      <w:r w:rsidRPr="00783E13">
        <w:t>The ‘Framework for Improving Student Outcomes (FISO)’ section includes the improvement</w:t>
      </w:r>
      <w:r>
        <w:t xml:space="preserve"> initiatives the school has selected and the progress they have made towards achieving them</w:t>
      </w:r>
      <w:r w:rsidRPr="00C32593">
        <w:t xml:space="preserve"> through the implementation of their School Strategic Plan and Annual Implementation Plan</w:t>
      </w:r>
      <w:r>
        <w:t>.</w:t>
      </w:r>
      <w:bookmarkEnd w:id="0"/>
    </w:p>
    <w:p w14:paraId="62B79DCA" w14:textId="77777777" w:rsidR="005568AC" w:rsidRDefault="00197531" w:rsidP="00F04D52">
      <w:pPr>
        <w:pStyle w:val="Style10"/>
        <w:spacing w:before="0" w:after="120"/>
      </w:pPr>
      <w:r>
        <w:t xml:space="preserve">What does the </w:t>
      </w:r>
      <w:r>
        <w:rPr>
          <w:i/>
        </w:rPr>
        <w:t>‘P</w:t>
      </w:r>
      <w:r w:rsidRPr="007567CF">
        <w:rPr>
          <w:i/>
        </w:rPr>
        <w:t>erformance Summary</w:t>
      </w:r>
      <w:r>
        <w:rPr>
          <w:i/>
        </w:rPr>
        <w:t>’</w:t>
      </w:r>
      <w:r>
        <w:t xml:space="preserve"> section of this report refer to?</w:t>
      </w:r>
    </w:p>
    <w:p w14:paraId="392D478B" w14:textId="77777777" w:rsidR="005568AC" w:rsidRDefault="00197531" w:rsidP="00F04D52">
      <w:pPr>
        <w:spacing w:line="240" w:lineRule="auto"/>
        <w:rPr>
          <w:rFonts w:eastAsia="Arial" w:cs="Times New Roman"/>
          <w:color w:val="000000"/>
          <w:szCs w:val="20"/>
        </w:rPr>
      </w:pPr>
      <w:r>
        <w:rPr>
          <w:rFonts w:eastAsia="Arial" w:cs="Times New Roman"/>
          <w:color w:val="000000"/>
          <w:szCs w:val="20"/>
        </w:rPr>
        <w:t>The Performance Summary includes the following:</w:t>
      </w:r>
    </w:p>
    <w:p w14:paraId="191E6E53" w14:textId="77777777" w:rsidR="00EA4C18" w:rsidRDefault="00197531" w:rsidP="00EA4C18">
      <w:pPr>
        <w:spacing w:line="240" w:lineRule="auto"/>
        <w:ind w:left="720"/>
        <w:rPr>
          <w:rFonts w:eastAsia="Arial" w:cs="Times New Roman"/>
          <w:b/>
          <w:color w:val="000000"/>
          <w:szCs w:val="20"/>
        </w:rPr>
      </w:pPr>
      <w:r>
        <w:rPr>
          <w:rFonts w:eastAsia="Arial" w:cs="Times New Roman"/>
          <w:b/>
          <w:color w:val="000000"/>
          <w:szCs w:val="20"/>
        </w:rPr>
        <w:t>School Profile</w:t>
      </w:r>
    </w:p>
    <w:p w14:paraId="3F7B1CED" w14:textId="77777777" w:rsidR="00EA4C18" w:rsidRDefault="00197531" w:rsidP="00EA4C18">
      <w:pPr>
        <w:numPr>
          <w:ilvl w:val="0"/>
          <w:numId w:val="27"/>
        </w:numPr>
        <w:spacing w:line="240" w:lineRule="auto"/>
        <w:ind w:left="1440"/>
        <w:rPr>
          <w:rFonts w:eastAsia="Arial" w:cs="Times New Roman"/>
          <w:bCs/>
          <w:color w:val="000000"/>
          <w:szCs w:val="20"/>
        </w:rPr>
      </w:pPr>
      <w:r>
        <w:rPr>
          <w:rFonts w:eastAsia="Arial" w:cs="Times New Roman"/>
          <w:bCs/>
          <w:color w:val="000000"/>
          <w:szCs w:val="20"/>
        </w:rPr>
        <w:t>student</w:t>
      </w:r>
      <w:r w:rsidRPr="00A14E75">
        <w:rPr>
          <w:rFonts w:eastAsia="Arial" w:cs="Times New Roman"/>
          <w:bCs/>
          <w:color w:val="000000"/>
          <w:szCs w:val="20"/>
        </w:rPr>
        <w:t xml:space="preserve"> enrolment</w:t>
      </w:r>
      <w:r>
        <w:rPr>
          <w:rFonts w:eastAsia="Arial" w:cs="Times New Roman"/>
          <w:bCs/>
          <w:color w:val="000000"/>
          <w:szCs w:val="20"/>
        </w:rPr>
        <w:t xml:space="preserve"> information</w:t>
      </w:r>
    </w:p>
    <w:p w14:paraId="71118178" w14:textId="77777777" w:rsidR="00EA4C18" w:rsidRPr="00A14E75" w:rsidRDefault="00197531" w:rsidP="00EA4C18">
      <w:pPr>
        <w:numPr>
          <w:ilvl w:val="0"/>
          <w:numId w:val="27"/>
        </w:numPr>
        <w:spacing w:line="240" w:lineRule="auto"/>
        <w:ind w:left="1440"/>
        <w:rPr>
          <w:rFonts w:eastAsia="Arial" w:cs="Times New Roman"/>
          <w:bCs/>
          <w:color w:val="000000"/>
          <w:szCs w:val="20"/>
        </w:rPr>
      </w:pPr>
      <w:r>
        <w:rPr>
          <w:rFonts w:eastAsia="Arial" w:cs="Times New Roman"/>
          <w:bCs/>
          <w:color w:val="000000"/>
          <w:szCs w:val="20"/>
        </w:rPr>
        <w:t>the school’s ‘S</w:t>
      </w:r>
      <w:r w:rsidRPr="00A14E75">
        <w:rPr>
          <w:rFonts w:eastAsia="Arial" w:cs="Times New Roman"/>
          <w:bCs/>
          <w:color w:val="000000"/>
          <w:szCs w:val="20"/>
        </w:rPr>
        <w:t>tudent Family Occupation and Education</w:t>
      </w:r>
      <w:r>
        <w:rPr>
          <w:rFonts w:eastAsia="Arial" w:cs="Times New Roman"/>
          <w:bCs/>
          <w:color w:val="000000"/>
          <w:szCs w:val="20"/>
        </w:rPr>
        <w:t>’</w:t>
      </w:r>
      <w:r w:rsidRPr="00A14E75">
        <w:rPr>
          <w:rFonts w:eastAsia="Arial" w:cs="Times New Roman"/>
          <w:bCs/>
          <w:color w:val="000000"/>
          <w:szCs w:val="20"/>
        </w:rPr>
        <w:t xml:space="preserve"> category</w:t>
      </w:r>
    </w:p>
    <w:p w14:paraId="47A0BC79" w14:textId="77777777" w:rsidR="00EA4C18" w:rsidRPr="00A14E75" w:rsidRDefault="00197531" w:rsidP="00EA4C18">
      <w:pPr>
        <w:numPr>
          <w:ilvl w:val="0"/>
          <w:numId w:val="27"/>
        </w:numPr>
        <w:spacing w:line="240" w:lineRule="auto"/>
        <w:ind w:left="1440"/>
        <w:rPr>
          <w:rFonts w:eastAsia="Arial" w:cs="Times New Roman"/>
          <w:bCs/>
          <w:color w:val="000000"/>
          <w:szCs w:val="20"/>
        </w:rPr>
      </w:pPr>
      <w:r>
        <w:rPr>
          <w:rFonts w:eastAsia="Arial" w:cs="Times New Roman"/>
          <w:bCs/>
          <w:color w:val="000000"/>
          <w:szCs w:val="20"/>
        </w:rPr>
        <w:t xml:space="preserve">a </w:t>
      </w:r>
      <w:r w:rsidRPr="00A14E75">
        <w:rPr>
          <w:rFonts w:eastAsia="Arial" w:cs="Times New Roman"/>
          <w:color w:val="000000"/>
          <w:szCs w:val="20"/>
        </w:rPr>
        <w:t>summary</w:t>
      </w:r>
      <w:r>
        <w:rPr>
          <w:rFonts w:eastAsia="Arial" w:cs="Times New Roman"/>
          <w:bCs/>
          <w:color w:val="000000"/>
          <w:szCs w:val="20"/>
        </w:rPr>
        <w:t xml:space="preserve"> of p</w:t>
      </w:r>
      <w:r w:rsidRPr="00A14E75">
        <w:rPr>
          <w:rFonts w:eastAsia="Arial" w:cs="Times New Roman"/>
          <w:bCs/>
          <w:color w:val="000000"/>
          <w:szCs w:val="20"/>
        </w:rPr>
        <w:t xml:space="preserve">arent </w:t>
      </w:r>
      <w:r>
        <w:rPr>
          <w:rFonts w:eastAsia="Arial" w:cs="Times New Roman"/>
          <w:bCs/>
          <w:color w:val="000000"/>
          <w:szCs w:val="20"/>
        </w:rPr>
        <w:t>responses in the Parent Opinion Survey, shown against the statewide average for Specialist schools</w:t>
      </w:r>
    </w:p>
    <w:p w14:paraId="7C6B4CBD" w14:textId="77777777" w:rsidR="00EA4C18" w:rsidRDefault="00197531" w:rsidP="00EA4C18">
      <w:pPr>
        <w:pStyle w:val="ListParagraph"/>
        <w:numPr>
          <w:ilvl w:val="0"/>
          <w:numId w:val="28"/>
        </w:numPr>
        <w:spacing w:line="240" w:lineRule="auto"/>
        <w:rPr>
          <w:rFonts w:eastAsia="Arial" w:cs="Times New Roman"/>
          <w:b/>
          <w:color w:val="000000"/>
          <w:szCs w:val="20"/>
        </w:rPr>
      </w:pPr>
      <w:r>
        <w:rPr>
          <w:rFonts w:eastAsia="Arial" w:cs="Times New Roman"/>
          <w:bCs/>
          <w:color w:val="000000"/>
          <w:szCs w:val="20"/>
        </w:rPr>
        <w:t>school s</w:t>
      </w:r>
      <w:r w:rsidRPr="00A14E75">
        <w:rPr>
          <w:rFonts w:eastAsia="Arial" w:cs="Times New Roman"/>
          <w:bCs/>
          <w:color w:val="000000"/>
          <w:szCs w:val="20"/>
        </w:rPr>
        <w:t>taff responses in the area of School Climate in the School Staff Survey</w:t>
      </w:r>
      <w:r>
        <w:rPr>
          <w:rFonts w:eastAsia="Arial" w:cs="Times New Roman"/>
          <w:bCs/>
          <w:color w:val="000000"/>
          <w:szCs w:val="20"/>
        </w:rPr>
        <w:t>, shown against the statewide average for Specialist schools</w:t>
      </w:r>
    </w:p>
    <w:p w14:paraId="3B6BE63F" w14:textId="77777777" w:rsidR="005568AC" w:rsidRDefault="00197531" w:rsidP="00F04D52">
      <w:pPr>
        <w:spacing w:line="240" w:lineRule="auto"/>
        <w:ind w:left="720"/>
        <w:rPr>
          <w:rFonts w:eastAsia="Arial" w:cs="Times New Roman"/>
          <w:b/>
          <w:color w:val="000000"/>
          <w:szCs w:val="20"/>
        </w:rPr>
      </w:pPr>
      <w:r>
        <w:rPr>
          <w:rFonts w:eastAsia="Arial" w:cs="Times New Roman"/>
          <w:b/>
          <w:color w:val="000000"/>
          <w:szCs w:val="20"/>
        </w:rPr>
        <w:t>Achievement</w:t>
      </w:r>
    </w:p>
    <w:p w14:paraId="356CD4D5" w14:textId="77777777" w:rsidR="005568AC" w:rsidRDefault="00197531" w:rsidP="00F04D52">
      <w:pPr>
        <w:numPr>
          <w:ilvl w:val="0"/>
          <w:numId w:val="27"/>
        </w:numPr>
        <w:spacing w:line="240" w:lineRule="auto"/>
        <w:ind w:left="1440"/>
        <w:rPr>
          <w:rFonts w:eastAsia="Arial" w:cs="Times New Roman"/>
          <w:color w:val="000000"/>
          <w:szCs w:val="20"/>
        </w:rPr>
      </w:pPr>
      <w:r>
        <w:rPr>
          <w:rFonts w:eastAsia="Arial" w:cs="Times New Roman"/>
          <w:color w:val="000000"/>
          <w:szCs w:val="20"/>
        </w:rPr>
        <w:t>English and Mathematics for Teacher Judgements against the curriculum</w:t>
      </w:r>
    </w:p>
    <w:p w14:paraId="2B2DAFF8" w14:textId="77777777" w:rsidR="005568AC" w:rsidRDefault="00197531" w:rsidP="00F04D52">
      <w:pPr>
        <w:spacing w:line="240" w:lineRule="auto"/>
        <w:ind w:left="720"/>
        <w:rPr>
          <w:rFonts w:eastAsia="Arial" w:cs="Times New Roman"/>
          <w:b/>
          <w:color w:val="000000"/>
          <w:szCs w:val="20"/>
        </w:rPr>
      </w:pPr>
      <w:r>
        <w:rPr>
          <w:rFonts w:eastAsia="Arial" w:cs="Times New Roman"/>
          <w:b/>
          <w:color w:val="000000"/>
          <w:szCs w:val="20"/>
        </w:rPr>
        <w:t xml:space="preserve">Engagement </w:t>
      </w:r>
    </w:p>
    <w:p w14:paraId="12C4869A" w14:textId="77777777" w:rsidR="005568AC" w:rsidRDefault="00197531" w:rsidP="00F04D52">
      <w:pPr>
        <w:spacing w:line="240" w:lineRule="auto"/>
        <w:ind w:left="720"/>
        <w:rPr>
          <w:rFonts w:eastAsia="Arial" w:cs="Times New Roman"/>
          <w:color w:val="000000"/>
          <w:szCs w:val="20"/>
        </w:rPr>
      </w:pPr>
      <w:r>
        <w:rPr>
          <w:rFonts w:eastAsia="Arial" w:cs="Times New Roman"/>
          <w:color w:val="000000"/>
          <w:szCs w:val="20"/>
        </w:rPr>
        <w:t>Student attendance and engagement at school, including:</w:t>
      </w:r>
    </w:p>
    <w:p w14:paraId="186C7CB1" w14:textId="77777777" w:rsidR="00B010EC" w:rsidRDefault="00197531" w:rsidP="00F04D52">
      <w:pPr>
        <w:numPr>
          <w:ilvl w:val="0"/>
          <w:numId w:val="27"/>
        </w:numPr>
        <w:spacing w:line="240" w:lineRule="auto"/>
        <w:ind w:left="1440"/>
        <w:rPr>
          <w:rFonts w:eastAsia="Arial" w:cs="Times New Roman"/>
          <w:color w:val="000000"/>
          <w:szCs w:val="20"/>
        </w:rPr>
      </w:pPr>
      <w:r>
        <w:rPr>
          <w:rFonts w:eastAsia="Arial" w:cs="Times New Roman"/>
          <w:color w:val="000000"/>
          <w:szCs w:val="20"/>
        </w:rPr>
        <w:t>how many exiting students go on to further studies or full-time work</w:t>
      </w:r>
    </w:p>
    <w:p w14:paraId="14F8555D" w14:textId="77777777" w:rsidR="00B637FF" w:rsidRDefault="00197531" w:rsidP="0037643B">
      <w:pPr>
        <w:pStyle w:val="ESBodyText0"/>
        <w:spacing w:after="240" w:line="240" w:lineRule="auto"/>
      </w:pPr>
      <w:r>
        <w:t>Results are displayed for the latest year and the average of the last four years (where available).</w:t>
      </w:r>
    </w:p>
    <w:p w14:paraId="15EF9A11" w14:textId="77777777" w:rsidR="00C32593" w:rsidRPr="001D3C2B" w:rsidRDefault="00197531" w:rsidP="00C32593">
      <w:pPr>
        <w:pStyle w:val="Style10"/>
        <w:spacing w:before="0" w:after="120"/>
      </w:pPr>
      <w:r w:rsidRPr="00C32593">
        <w:t>Considering COVID-19 when interpreting the Performance Summary</w:t>
      </w:r>
    </w:p>
    <w:p w14:paraId="23F64A61" w14:textId="77777777" w:rsidR="00C32593" w:rsidRPr="00DC3FA2" w:rsidRDefault="00197531" w:rsidP="00C32593">
      <w:pPr>
        <w:pStyle w:val="ESBodyText0"/>
        <w:spacing w:line="240" w:lineRule="auto"/>
      </w:pPr>
      <w:r w:rsidRPr="00DC3FA2">
        <w:t>The Victorian community's experience of COVID-19, including remote and flexible learning, had a significant impact on normal school operations</w:t>
      </w:r>
      <w:r>
        <w:t xml:space="preserve"> in 2020 and 2021</w:t>
      </w:r>
      <w:r w:rsidRPr="00DC3FA2">
        <w:t>. This impacted the conduct of assessments and surveys. Readers should be aware of this when interpreting the Performance Summary.</w:t>
      </w:r>
    </w:p>
    <w:p w14:paraId="3A903AAA" w14:textId="77777777" w:rsidR="00C32593" w:rsidRPr="00DC3FA2" w:rsidRDefault="00197531" w:rsidP="00C32593">
      <w:pPr>
        <w:pStyle w:val="ESBodyText0"/>
        <w:spacing w:line="240" w:lineRule="auto"/>
      </w:pPr>
      <w:r w:rsidRPr="00DC3FA2">
        <w:t>For example, in 2020</w:t>
      </w:r>
      <w:r>
        <w:t xml:space="preserve"> and 2021</w:t>
      </w:r>
      <w:r w:rsidRPr="00DC3FA2">
        <w:t xml:space="preserve"> school-based surveys ran under changed circumstances. Absence data may have been influenced by local processes and procedures adopted in response to remote and flexible learning.</w:t>
      </w:r>
    </w:p>
    <w:p w14:paraId="4A2753EA" w14:textId="77777777" w:rsidR="000203C1" w:rsidRDefault="00197531" w:rsidP="00C32593">
      <w:pPr>
        <w:spacing w:after="0" w:line="240" w:lineRule="auto"/>
        <w:rPr>
          <w:rFonts w:eastAsiaTheme="majorEastAsia" w:cstheme="majorBidi"/>
          <w:bCs/>
          <w:color w:val="C00000"/>
          <w:sz w:val="24"/>
          <w:szCs w:val="20"/>
        </w:rPr>
      </w:pPr>
      <w:r w:rsidRPr="00DC3FA2">
        <w:t>Schools should keep this in mind when using this data for planning and evaluation purposes.</w:t>
      </w:r>
      <w:r>
        <w:br w:type="page"/>
      </w:r>
    </w:p>
    <w:p w14:paraId="61CB0EC6" w14:textId="77777777" w:rsidR="000203C1" w:rsidRDefault="00197531" w:rsidP="000203C1">
      <w:pPr>
        <w:pStyle w:val="ESHeading10"/>
        <w:spacing w:after="0" w:line="240" w:lineRule="auto"/>
      </w:pPr>
      <w:r>
        <w:lastRenderedPageBreak/>
        <w:t>How to read the Annual Report (continued)</w:t>
      </w:r>
    </w:p>
    <w:p w14:paraId="4602A8CE" w14:textId="77777777" w:rsidR="00EA4C18" w:rsidRDefault="00197531" w:rsidP="00EA4C18">
      <w:pPr>
        <w:pStyle w:val="H2Line"/>
        <w:spacing w:before="0" w:after="120"/>
      </w:pPr>
      <w:r>
        <w:t xml:space="preserve">What does </w:t>
      </w:r>
      <w:r>
        <w:rPr>
          <w:i/>
        </w:rPr>
        <w:t>‘NDP’</w:t>
      </w:r>
      <w:r>
        <w:t xml:space="preserve"> or ‘</w:t>
      </w:r>
      <w:r>
        <w:rPr>
          <w:i/>
        </w:rPr>
        <w:t>NDA</w:t>
      </w:r>
      <w:r>
        <w:t>’ mean?</w:t>
      </w:r>
    </w:p>
    <w:p w14:paraId="6F12CFBC" w14:textId="77777777" w:rsidR="000203C1" w:rsidRDefault="00197531" w:rsidP="000203C1">
      <w:pPr>
        <w:spacing w:line="240" w:lineRule="auto"/>
        <w:rPr>
          <w:rFonts w:eastAsia="Arial" w:cs="Times New Roman"/>
          <w:color w:val="000000"/>
          <w:szCs w:val="20"/>
        </w:rPr>
      </w:pPr>
      <w:r w:rsidRPr="00783E13">
        <w:rPr>
          <w:rFonts w:eastAsia="Arial" w:cs="Times New Roman"/>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3FB84486" w14:textId="77777777" w:rsidR="000203C1" w:rsidRPr="000203C1" w:rsidRDefault="00197531" w:rsidP="000203C1">
      <w:pPr>
        <w:spacing w:line="240" w:lineRule="auto"/>
        <w:rPr>
          <w:rFonts w:eastAsia="Arial" w:cs="Times New Roman"/>
          <w:color w:val="000000"/>
        </w:rPr>
      </w:pPr>
      <w:r w:rsidRPr="000203C1">
        <w:rPr>
          <w:rFonts w:eastAsia="Arial" w:cs="Times New Roman"/>
          <w:color w:val="000000"/>
        </w:rPr>
        <w:t>‘NDA’</w:t>
      </w:r>
      <w:r>
        <w:rPr>
          <w:rFonts w:eastAsia="Arial" w:cs="Times New Roman"/>
          <w:color w:val="000000"/>
        </w:rPr>
        <w:t xml:space="preserve"> refers </w:t>
      </w:r>
      <w:r w:rsidRPr="000203C1">
        <w:rPr>
          <w:rFonts w:eastAsia="Arial" w:cs="Times New Roman"/>
          <w:color w:val="000000"/>
        </w:rPr>
        <w:t xml:space="preserve">to </w:t>
      </w:r>
      <w:r w:rsidRPr="000203C1">
        <w:rPr>
          <w:rFonts w:eastAsia="Arial" w:cs="Times New Roman"/>
          <w:color w:val="000000"/>
          <w:szCs w:val="20"/>
        </w:rPr>
        <w:t>no</w:t>
      </w:r>
      <w:r w:rsidRPr="000203C1">
        <w:rPr>
          <w:rFonts w:eastAsia="Arial" w:cs="Times New Roman"/>
          <w:color w:val="000000"/>
        </w:rPr>
        <w:t xml:space="preserve"> data being available. Some schools have no data for particular measures due to low enrolments. There may be no students enrolled in some year levels, so school comparisons are not possible.</w:t>
      </w:r>
    </w:p>
    <w:p w14:paraId="1B29B1CF" w14:textId="77777777" w:rsidR="005568AC" w:rsidRPr="00B637FF" w:rsidRDefault="00197531" w:rsidP="000203C1">
      <w:pPr>
        <w:pStyle w:val="Body2"/>
        <w:spacing w:line="240" w:lineRule="auto"/>
      </w:pPr>
      <w:r>
        <w:rPr>
          <w:rFonts w:eastAsia="Arial" w:cs="Times New Roman"/>
          <w:color w:val="000000"/>
          <w:szCs w:val="20"/>
        </w:rPr>
        <w:t>Note that new schools only have the latest year of data and no comparative data from previous years. T</w:t>
      </w:r>
      <w:r>
        <w:t>he Department also recognises unique circumstances in Specialist, Select Entry, English Language, Community Schools and schools that changed school type recently, where school-to-school comparisons are not appropriate.</w:t>
      </w:r>
    </w:p>
    <w:p w14:paraId="2996FF9C" w14:textId="77777777" w:rsidR="005568AC" w:rsidRDefault="00197531" w:rsidP="00F04D52">
      <w:pPr>
        <w:pStyle w:val="H2Line"/>
        <w:spacing w:before="0" w:after="120"/>
      </w:pPr>
      <w:r>
        <w:t xml:space="preserve">What is the </w:t>
      </w:r>
      <w:r>
        <w:rPr>
          <w:i/>
          <w:iCs/>
        </w:rPr>
        <w:t>‘Towards Foundation Level V</w:t>
      </w:r>
      <w:r w:rsidRPr="00F04D52">
        <w:rPr>
          <w:i/>
          <w:iCs/>
        </w:rPr>
        <w:t>ictorian Curriculum</w:t>
      </w:r>
      <w:r>
        <w:rPr>
          <w:i/>
          <w:iCs/>
        </w:rPr>
        <w:t>’</w:t>
      </w:r>
      <w:r>
        <w:t>?</w:t>
      </w:r>
    </w:p>
    <w:p w14:paraId="20D8B9FF" w14:textId="77777777" w:rsidR="000203C1" w:rsidRDefault="00197531" w:rsidP="00467B14">
      <w:pPr>
        <w:rPr>
          <w:rFonts w:eastAsia="Arial"/>
          <w:color w:val="000000"/>
        </w:rPr>
      </w:pPr>
      <w:r>
        <w:rPr>
          <w:rFonts w:eastAsia="Arial"/>
          <w:color w:val="000000"/>
        </w:rPr>
        <w:t>The Victorian Curriculum is assessed through teacher judgements of student achievement based on classroom learning.</w:t>
      </w:r>
    </w:p>
    <w:p w14:paraId="35643990" w14:textId="77777777" w:rsidR="00467B14" w:rsidRDefault="00197531" w:rsidP="00467B14">
      <w:pPr>
        <w:rPr>
          <w:rFonts w:eastAsia="Arial"/>
          <w:color w:val="000000"/>
        </w:rPr>
      </w:pPr>
      <w:r>
        <w:rPr>
          <w:rFonts w:eastAsia="Arial"/>
          <w:color w:val="000000"/>
        </w:rPr>
        <w:t>The ‘Towards Foundation Level Victorian Curriculum’ is integrated directly into the curriculum and is referred to as ‘Levels A to D’.</w:t>
      </w:r>
    </w:p>
    <w:p w14:paraId="61011F8E" w14:textId="77777777" w:rsidR="00467B14" w:rsidRDefault="00197531" w:rsidP="00467B14">
      <w:r>
        <w:rPr>
          <w:rFonts w:eastAsia="Arial"/>
          <w:color w:val="000000"/>
        </w:rPr>
        <w:t>‘Levels A to D’ may be used for students with disabilities or students who may have additional learning needs</w:t>
      </w:r>
    </w:p>
    <w:p w14:paraId="0324670D" w14:textId="77777777" w:rsidR="00467B14" w:rsidRDefault="00197531" w:rsidP="00467B14">
      <w:pPr>
        <w:spacing w:line="240" w:lineRule="auto"/>
        <w:rPr>
          <w:rFonts w:eastAsia="Arial"/>
          <w:color w:val="000000"/>
        </w:rPr>
      </w:pPr>
      <w:r>
        <w:rPr>
          <w:rFonts w:eastAsia="Arial"/>
          <w:color w:val="000000"/>
        </w:rPr>
        <w:t>‘Levels A to D’ are not associated with any set age or year level that links chronological age to cognitive progress (i.e., there is no age expected standard of achievement for ‘Levels A to D’).</w:t>
      </w:r>
    </w:p>
    <w:p w14:paraId="269216BF" w14:textId="77777777" w:rsidR="004C5FBF" w:rsidRDefault="00197531" w:rsidP="00F04D52">
      <w:pPr>
        <w:spacing w:line="240" w:lineRule="auto"/>
        <w:sectPr w:rsidR="004C5FBF" w:rsidSect="008549C1">
          <w:headerReference w:type="default" r:id="rId22"/>
          <w:footerReference w:type="default" r:id="rId23"/>
          <w:headerReference w:type="first" r:id="rId24"/>
          <w:pgSz w:w="11900" w:h="16840"/>
          <w:pgMar w:top="1276" w:right="567" w:bottom="709" w:left="567" w:header="142" w:footer="325" w:gutter="0"/>
          <w:cols w:space="397"/>
          <w:docGrid w:linePitch="360"/>
        </w:sectPr>
      </w:pPr>
      <w:r>
        <w:br w:type="page"/>
      </w:r>
    </w:p>
    <w:p w14:paraId="4D7F59A2" w14:textId="77777777" w:rsidR="0038585D" w:rsidRPr="004A27D4" w:rsidRDefault="00197531" w:rsidP="004A27D4">
      <w:pPr>
        <w:ind w:left="-567" w:right="-632"/>
        <w:rPr>
          <w:b/>
          <w:color w:val="AF272F"/>
          <w:sz w:val="32"/>
          <w:szCs w:val="32"/>
        </w:rPr>
      </w:pPr>
      <w:r>
        <w:rPr>
          <w:b/>
          <w:color w:val="AF272F"/>
          <w:sz w:val="36"/>
          <w:szCs w:val="44"/>
        </w:rPr>
        <w:lastRenderedPageBreak/>
        <w:t>About Our School</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774"/>
      </w:tblGrid>
      <w:tr w:rsidR="0024609D" w14:paraId="3D0210E6" w14:textId="77777777" w:rsidTr="007B205B">
        <w:trPr>
          <w:trHeight w:val="15"/>
        </w:trPr>
        <w:tc>
          <w:tcPr>
            <w:tcW w:w="10774" w:type="dxa"/>
            <w:shd w:val="clear" w:color="auto" w:fill="auto"/>
          </w:tcPr>
          <w:p w14:paraId="299E67D5" w14:textId="77777777" w:rsidR="00777DB2" w:rsidRPr="001C2589" w:rsidRDefault="00197531" w:rsidP="00F748EB">
            <w:pPr>
              <w:pStyle w:val="Style1"/>
              <w:spacing w:before="0"/>
              <w:jc w:val="both"/>
              <w:rPr>
                <w:szCs w:val="24"/>
              </w:rPr>
            </w:pPr>
            <w:r w:rsidRPr="009E3F78">
              <w:rPr>
                <w:szCs w:val="24"/>
              </w:rPr>
              <w:t>School context</w:t>
            </w:r>
          </w:p>
        </w:tc>
      </w:tr>
      <w:tr w:rsidR="0024609D" w14:paraId="5CF4DA8B" w14:textId="77777777" w:rsidTr="007B205B">
        <w:trPr>
          <w:trHeight w:val="15"/>
        </w:trPr>
        <w:tc>
          <w:tcPr>
            <w:tcW w:w="10774" w:type="dxa"/>
            <w:shd w:val="clear" w:color="auto" w:fill="FFFFFF" w:themeFill="background1"/>
          </w:tcPr>
          <w:p w14:paraId="134F1C14" w14:textId="77777777" w:rsidR="00777DB2" w:rsidRPr="005A75E6" w:rsidRDefault="00197531" w:rsidP="00994A0F">
            <w:pPr>
              <w:pStyle w:val="Heading3"/>
              <w:spacing w:before="0" w:after="0"/>
              <w:rPr>
                <w:b w:val="0"/>
                <w:szCs w:val="20"/>
              </w:rPr>
            </w:pPr>
            <w:r>
              <w:rPr>
                <w:b w:val="0"/>
              </w:rPr>
              <w:t>Our school’s vision is to prepare young people to become active, respected, engaged and responsible citizens of the local and global community.  It aims to prepare students to contend with a very dynamic 21st century in which creativity, cooperative work, connected to the world and adaptability are key features.  The school aspires to provide a current approach to teaching and learning in its purposeful learning environment that is informed by on-going research.</w:t>
            </w:r>
            <w:r>
              <w:rPr>
                <w:b w:val="0"/>
              </w:rPr>
              <w:br/>
              <w:t>The schools core values are Respect, Teamwork and Persistence. However, the school values achievement, excellence, curiosity, respect and responsibility, perseverance, integrity, inclusiveness, respect for diversity, honesty and equity.  Sitting at the centre of its work, the school believes in high expectations in all students and a commitment to acknowledging effort in learning and achievement.</w:t>
            </w:r>
            <w:r>
              <w:rPr>
                <w:b w:val="0"/>
              </w:rPr>
              <w:br/>
              <w:t>The programs of, and teaching in, the school will support and promote the principles and practices of Australian democracy including a commitment to:</w:t>
            </w:r>
            <w:r>
              <w:rPr>
                <w:b w:val="0"/>
              </w:rPr>
              <w:br/>
              <w:t>•</w:t>
            </w:r>
            <w:r>
              <w:rPr>
                <w:b w:val="0"/>
              </w:rPr>
              <w:tab/>
              <w:t>An elected government.</w:t>
            </w:r>
            <w:r>
              <w:rPr>
                <w:b w:val="0"/>
              </w:rPr>
              <w:br/>
              <w:t>•</w:t>
            </w:r>
            <w:r>
              <w:rPr>
                <w:b w:val="0"/>
              </w:rPr>
              <w:tab/>
              <w:t>The rule of law.</w:t>
            </w:r>
            <w:r>
              <w:rPr>
                <w:b w:val="0"/>
              </w:rPr>
              <w:br/>
              <w:t>•</w:t>
            </w:r>
            <w:r>
              <w:rPr>
                <w:b w:val="0"/>
              </w:rPr>
              <w:tab/>
              <w:t>Equal rights for all before the law.</w:t>
            </w:r>
            <w:r>
              <w:rPr>
                <w:b w:val="0"/>
              </w:rPr>
              <w:br/>
              <w:t>•</w:t>
            </w:r>
            <w:r>
              <w:rPr>
                <w:b w:val="0"/>
              </w:rPr>
              <w:tab/>
              <w:t>Freedom of religion.</w:t>
            </w:r>
            <w:r>
              <w:rPr>
                <w:b w:val="0"/>
              </w:rPr>
              <w:br/>
              <w:t>•</w:t>
            </w:r>
            <w:r>
              <w:rPr>
                <w:b w:val="0"/>
              </w:rPr>
              <w:tab/>
              <w:t>Freedom of speech and association.</w:t>
            </w:r>
            <w:r>
              <w:rPr>
                <w:b w:val="0"/>
              </w:rPr>
              <w:br/>
              <w:t>•</w:t>
            </w:r>
            <w:r>
              <w:rPr>
                <w:b w:val="0"/>
              </w:rPr>
              <w:tab/>
              <w:t>The values of openness and tolerance.</w:t>
            </w:r>
            <w:r>
              <w:rPr>
                <w:b w:val="0"/>
              </w:rPr>
              <w:br/>
              <w:t>All members of the School Community are expected to model these behaviors at all times.</w:t>
            </w:r>
            <w:r>
              <w:rPr>
                <w:b w:val="0"/>
              </w:rPr>
              <w:br/>
              <w:t xml:space="preserve">Hampden Specialist School provides Special Education for Primary and Secondary school age students with mild to severe intellectual disability or in combination with other disabilities. It is a two campus school featuring distinct learning stages with students in the Early Years stages of learning situated at the Terang Campus and Middle to Later Years students at Cobden. The School Administration is also located at its Cobden Campus. </w:t>
            </w:r>
            <w:r>
              <w:rPr>
                <w:b w:val="0"/>
              </w:rPr>
              <w:br/>
              <w:t>The catchment area encompasses Derrinallum and Mortlake in the north, Garvoc and Nullawarre to the west, Timboon and Port Campbell to the south and South Purrumbete to the east and all areas in between. Neighbouring Specialist Schools are located at Warrnambool, Colac and Hamilton.</w:t>
            </w:r>
            <w:r>
              <w:rPr>
                <w:b w:val="0"/>
              </w:rPr>
              <w:br/>
              <w:t xml:space="preserve">The schools most distinguishing feature is its Baseroom style of education delivery. In keeping with this style of operation, each campus is located alongside same age regular schools. The P - 4 Campus with 18 students, is located next to Terang College P - 4 campus,  the Middle years (5 – 9) and Later Years (10 – 12) campus with a total of 46 students, is located on the grounds of Cobden Technical School. The towns of Cobden and Terang, in which these campuses are situated, are 24 kilometres apart. The combined enrolment for 2021 is 64. </w:t>
            </w:r>
            <w:r>
              <w:rPr>
                <w:b w:val="0"/>
              </w:rPr>
              <w:br/>
              <w:t>We currently have the following FTE employees at the listed time fractions: 10 teachers-1, 1 teacher-.4, business manager-.8, 1 ES-.74, 1 ES-63, 1 ES-.65, 1 ES-.24, 1 ES-.28, 2 ES-.29, 1 ES-.45, 1ES-.72</w:t>
            </w:r>
            <w:r>
              <w:rPr>
                <w:b w:val="0"/>
              </w:rPr>
              <w:br/>
              <w:t>Hampden Specialist School does not currently employ any Aboriginal or Torres Strait Islander staff.</w:t>
            </w:r>
            <w:r>
              <w:rPr>
                <w:b w:val="0"/>
              </w:rPr>
              <w:br/>
              <w:t>Hampden Specialist School does not currently have any overseas students enrolled.</w:t>
            </w:r>
            <w:r>
              <w:rPr>
                <w:b w:val="0"/>
              </w:rPr>
              <w:br/>
              <w:t>Hampden Specialist School is distinguished by its Baseroom approach to curriculum delivery.  The school motto ‘The Best of Both Worlds in Special Education’ visibly  underpins the advantages of this practice and the school values of Respect, Teamwork and Persistence serve as an enduring benchmark for all aspects of the teaching and learning that takes place at the school.</w:t>
            </w:r>
            <w:r>
              <w:rPr>
                <w:b w:val="0"/>
              </w:rPr>
              <w:br/>
            </w:r>
            <w:r>
              <w:rPr>
                <w:b w:val="0"/>
              </w:rPr>
              <w:br/>
            </w:r>
            <w:r>
              <w:rPr>
                <w:b w:val="0"/>
              </w:rPr>
              <w:br/>
            </w:r>
          </w:p>
        </w:tc>
      </w:tr>
      <w:tr w:rsidR="0024609D" w14:paraId="60E48C2D" w14:textId="77777777" w:rsidTr="007B205B">
        <w:trPr>
          <w:trHeight w:val="15"/>
        </w:trPr>
        <w:tc>
          <w:tcPr>
            <w:tcW w:w="10774" w:type="dxa"/>
            <w:shd w:val="clear" w:color="auto" w:fill="auto"/>
          </w:tcPr>
          <w:p w14:paraId="3870F7F0" w14:textId="77777777" w:rsidR="00777DB2" w:rsidRPr="007B205B" w:rsidRDefault="00197531" w:rsidP="00F748EB">
            <w:pPr>
              <w:pStyle w:val="Style1"/>
              <w:spacing w:before="0"/>
              <w:jc w:val="both"/>
              <w:rPr>
                <w:szCs w:val="24"/>
              </w:rPr>
            </w:pPr>
            <w:r w:rsidRPr="009E3F78">
              <w:rPr>
                <w:szCs w:val="24"/>
              </w:rPr>
              <w:t>Framework for Improving Student Outcomes (FISO)</w:t>
            </w:r>
          </w:p>
        </w:tc>
      </w:tr>
      <w:tr w:rsidR="0024609D" w14:paraId="1D6D7D27" w14:textId="77777777" w:rsidTr="007B205B">
        <w:trPr>
          <w:trHeight w:val="15"/>
        </w:trPr>
        <w:tc>
          <w:tcPr>
            <w:tcW w:w="10774" w:type="dxa"/>
            <w:shd w:val="clear" w:color="auto" w:fill="FFFFFF" w:themeFill="background1"/>
          </w:tcPr>
          <w:p w14:paraId="3AE279F5" w14:textId="77777777" w:rsidR="00777DB2" w:rsidRPr="005A75E6" w:rsidRDefault="00197531" w:rsidP="00994A0F">
            <w:pPr>
              <w:pStyle w:val="Heading3"/>
              <w:spacing w:before="0" w:after="0"/>
              <w:rPr>
                <w:b w:val="0"/>
                <w:szCs w:val="20"/>
              </w:rPr>
            </w:pPr>
            <w:r>
              <w:rPr>
                <w:b w:val="0"/>
              </w:rPr>
              <w:t xml:space="preserve">Curriculum Planning and Assessment, Learning catch up and extension priority: Hampden Specialist School delivered on the KIS for 100% of students identified for additional support under the Tutor Learning Program would achieve specific goal/s as identified by the teacher and the tutor in their Individual Learning plans. We have attributed this to the tutor, the teacher, the students and the families working collaboratively to identify goals for learning and strategies to improve in an area they have not progressed as expected. Goals were set using data, teacher judgement and parental and student input. </w:t>
            </w:r>
            <w:r>
              <w:rPr>
                <w:b w:val="0"/>
              </w:rPr>
              <w:br/>
            </w:r>
            <w:r>
              <w:rPr>
                <w:b w:val="0"/>
              </w:rPr>
              <w:lastRenderedPageBreak/>
              <w:t xml:space="preserve">KIS 2: The second KIS was for 'Teacher Concern Positive Endorsement' to increase from 68% in 2020 to 72% in 2021, the school exceeded this goal by returning a 86% positive result in 2021 on the Attitude to School Survey undertaken by students, we attribute this to the strong trust relationships between students and staff. Staff work tirelessly to build relationships with students that are built on the school's values of Teamwork, Respect and Resilience. School staff develop and implement programs that are engaging and challenging for the students, programs such as 'Hands on Learning', 'Sounds Write', 'Quicksmart' and our community connection programs are all strong contributors to engaging students in their learning. Students have trust in school staff that they will be 'heard, seen and acknowledged' for their thoughts, opinions and efforts. The Attitude to School Survey for 'Sense of Connectedness Positive Endorsement' to increase from 73% in 2020 to 78% in 2021 was also met. The Respectful Relationships program, School Chaplain and the opportunity to attend school during the remote learning period has enabled students to remain connected to their school community during this testing time. The silver lining of COVID for our school community was the opportunity to attend the campus if parents requested, this opportunity was was accepted by the majority of our learning community which has led to strong connections with families and students. Families have felt supported during this period with their children being able to continue their learning journey through the structured school routine. </w:t>
            </w:r>
            <w:r>
              <w:rPr>
                <w:b w:val="0"/>
              </w:rPr>
              <w:br/>
              <w:t>KIS 3: Parent Opinion Survey- School communication positive endorsement to increase from 57% in 2020 to 78% in 2021, this target was well exceeded with results in 2021 rising to 86%. The school attributes students learning from school if requested by parents and the introduction of the digital platform of Skoolbag for newsletters and notices, plus increased teacher communication through text messages and phone calls to report home regularly. Most of the students are bussed into the school due to the large catchment area, the convenience of the bus program is integral to the school attendance for our families,  many of our families would not have the resources to transport there child to school without this service. However this can lead to missed opportunities to connect with parents as they  drop off and pick up their students each day. Staff have combated this identified barrier by connecting more regularly through messages and calls.</w:t>
            </w:r>
            <w:r>
              <w:rPr>
                <w:b w:val="0"/>
              </w:rPr>
              <w:br/>
            </w:r>
            <w:r>
              <w:rPr>
                <w:b w:val="0"/>
              </w:rPr>
              <w:br/>
              <w:t>Health and Wellbeing- Happy, active and healthy kids priority: SWIVL robots have been used to complete 2 peer observations to improve teacher practice with a focus on the 'Reflection' section of our Instructional Model. There was emphasis on the Learning Intention and Success Criteria, we needed to see and hear this during the lesson and give constructive feedback to members of the group. Teachers then use this feedback to write a reflection. PLC training with a coach has seen our practice around feedback slowly improving with a culture developing that is more willingly to give and receive higher level feedback. The formal process of the PLC training has given us a structure we needed to develop a more effective practice and improve student outcomes. Students have embraced the idea of contributing to their learning plans and goals,  The level of input by students is attributed to age and ability.  The student survey results demonstrates strong relationships between staff and students with improvement on the ATSS.</w:t>
            </w:r>
            <w:r>
              <w:rPr>
                <w:b w:val="0"/>
              </w:rPr>
              <w:br/>
            </w:r>
            <w:r>
              <w:rPr>
                <w:b w:val="0"/>
              </w:rPr>
              <w:br/>
              <w:t>Building communities- Connected schools priority: The recent school review assessed the FISO continua against the area 'parents and carer's as partners' as moving from Embedding to Evolving, if successful we will move clearly into the Embedding stage. This will be evident through regular communication with families, collaborate approach to learning and wellbeing between leaders, teachers, students and families. Families will feel confident to contact the school and become regular contributors to the community. the school and families will work closely to overcome barriers and support the family utilising therapies and agencies as needed.</w:t>
            </w:r>
            <w:r>
              <w:rPr>
                <w:b w:val="0"/>
              </w:rPr>
              <w:br/>
            </w:r>
            <w:r>
              <w:rPr>
                <w:b w:val="0"/>
              </w:rPr>
              <w:br/>
              <w:t>Setting expectations and promoting inclusion- Build a whole school approach to the development of the social and emotional wellbeing of the students within the School Wide Positive Behaviour Support framework: HSS has self assessed at Embedding on the FISO Continua for Health and wellbeing. The implementation of the PBS model has remained a future goal as our region still did not have a coach in the area to work with the school. Leaders, teachers and staff collaborate with families, community organisiations and health and wellbeing specialists, integrating evidence based pro-social and emotional strategies into their learning programs. Leaders, teachers and students collaborate to develop IEP's, putting into place recommended strategies and modifying the curriculum and scaffolding learning to meet the needs of the individual students. Leaders and teachers continue to build a culture in which all school staff have the skills and knowledge to build positive relationships with students and families.</w:t>
            </w:r>
          </w:p>
        </w:tc>
      </w:tr>
      <w:tr w:rsidR="0024609D" w14:paraId="68E32026" w14:textId="77777777" w:rsidTr="007B205B">
        <w:trPr>
          <w:trHeight w:val="15"/>
        </w:trPr>
        <w:tc>
          <w:tcPr>
            <w:tcW w:w="10774" w:type="dxa"/>
            <w:shd w:val="clear" w:color="auto" w:fill="auto"/>
          </w:tcPr>
          <w:p w14:paraId="0C671025" w14:textId="77777777" w:rsidR="00777DB2" w:rsidRPr="007B205B" w:rsidRDefault="00197531" w:rsidP="00F748EB">
            <w:pPr>
              <w:pStyle w:val="Style1"/>
              <w:spacing w:before="0"/>
              <w:jc w:val="both"/>
              <w:rPr>
                <w:szCs w:val="24"/>
              </w:rPr>
            </w:pPr>
            <w:r w:rsidRPr="009E3F78">
              <w:rPr>
                <w:szCs w:val="24"/>
              </w:rPr>
              <w:lastRenderedPageBreak/>
              <w:t>Achievement</w:t>
            </w:r>
          </w:p>
        </w:tc>
      </w:tr>
      <w:tr w:rsidR="0024609D" w14:paraId="1DB6E53E" w14:textId="77777777" w:rsidTr="007B205B">
        <w:trPr>
          <w:trHeight w:val="15"/>
        </w:trPr>
        <w:tc>
          <w:tcPr>
            <w:tcW w:w="10774" w:type="dxa"/>
            <w:shd w:val="clear" w:color="auto" w:fill="FFFFFF" w:themeFill="background1"/>
          </w:tcPr>
          <w:p w14:paraId="6C55414C" w14:textId="77777777" w:rsidR="00777DB2" w:rsidRPr="005A75E6" w:rsidRDefault="00197531" w:rsidP="00994A0F">
            <w:pPr>
              <w:pStyle w:val="Heading3"/>
              <w:spacing w:before="0" w:after="0"/>
              <w:rPr>
                <w:b w:val="0"/>
                <w:szCs w:val="20"/>
              </w:rPr>
            </w:pPr>
            <w:r>
              <w:rPr>
                <w:b w:val="0"/>
              </w:rPr>
              <w:lastRenderedPageBreak/>
              <w:t xml:space="preserve">All the students at the Hampden Specialist School are PSD students and work towards their own learning plans. Individual learning plans are developed by teachers in conjunction with students, families and therapists including all domains of the Victorian Curriculum. The Victorian Curriculum drives our learning framework along with the functional and life skills needed to be functioning members of the community. The majority of students were on-site during the remote learning period where many of our programs were able to continue, the absence of our community connection programs such as swimming, sport, excursions and camps were compensated through virtual tours online that were provided by many organisations such as zoo's, Aquarians and other popular excursion destinations. Students learning from home were able to utilise online resources such a sea saw, Clickview and Webex, The introduction of Webex sessions allowed students to connect with their school community. Students learning from home also benefited from small projects that were practical and life skilled based that allowed them to connect with their families. </w:t>
            </w:r>
          </w:p>
        </w:tc>
      </w:tr>
      <w:tr w:rsidR="0024609D" w14:paraId="6C18684A" w14:textId="77777777" w:rsidTr="007B205B">
        <w:trPr>
          <w:trHeight w:val="15"/>
        </w:trPr>
        <w:tc>
          <w:tcPr>
            <w:tcW w:w="10774" w:type="dxa"/>
            <w:shd w:val="clear" w:color="auto" w:fill="auto"/>
          </w:tcPr>
          <w:p w14:paraId="0C852CE8" w14:textId="77777777" w:rsidR="00777DB2" w:rsidRPr="007B205B" w:rsidRDefault="00197531" w:rsidP="00F748EB">
            <w:pPr>
              <w:pStyle w:val="Style1"/>
              <w:spacing w:before="0"/>
              <w:jc w:val="both"/>
              <w:rPr>
                <w:szCs w:val="24"/>
              </w:rPr>
            </w:pPr>
            <w:r w:rsidRPr="009E3F78">
              <w:rPr>
                <w:szCs w:val="24"/>
              </w:rPr>
              <w:t>Engagement</w:t>
            </w:r>
          </w:p>
        </w:tc>
      </w:tr>
      <w:tr w:rsidR="0024609D" w14:paraId="02266100" w14:textId="77777777" w:rsidTr="007B205B">
        <w:trPr>
          <w:trHeight w:val="15"/>
        </w:trPr>
        <w:tc>
          <w:tcPr>
            <w:tcW w:w="10774" w:type="dxa"/>
            <w:shd w:val="clear" w:color="auto" w:fill="FFFFFF" w:themeFill="background1"/>
          </w:tcPr>
          <w:p w14:paraId="7F65DEEF" w14:textId="77777777" w:rsidR="00777DB2" w:rsidRPr="005A75E6" w:rsidRDefault="00197531" w:rsidP="00994A0F">
            <w:pPr>
              <w:pStyle w:val="Heading3"/>
              <w:spacing w:before="0" w:after="0"/>
              <w:rPr>
                <w:b w:val="0"/>
                <w:szCs w:val="20"/>
              </w:rPr>
            </w:pPr>
            <w:r>
              <w:rPr>
                <w:b w:val="0"/>
              </w:rPr>
              <w:t>Hampden Specialist School students are engaged and connected to our school, they look forward to the programs at our school that are designed to engage them and improve student outcomes. Our values of Resilience, Respect and Teamwork support students to build their academic and social capacity.</w:t>
            </w:r>
            <w:r>
              <w:rPr>
                <w:b w:val="0"/>
              </w:rPr>
              <w:br/>
              <w:t xml:space="preserve">The school's focus to build on student's sense of connectedness was enhanced by strong student/ teacher relationships, engaging and enhancing programs. The target of 78% for students sense of connectedness was met and HSS attribute this to the continuation of face to face learning during the remote learning period. Students were able to maintain structured routines and connections with peers during the lockdown period, this allowed them to appreciate connections that may have not been possible if allowances for PSD students were not made. </w:t>
            </w:r>
            <w:r>
              <w:rPr>
                <w:b w:val="0"/>
              </w:rPr>
              <w:br/>
              <w:t>Student attendance was consistent with previous years and text messages used to communicate with families for unexplained absences. Attendance plans were implemented for students with attendance below 80%, these were agreed plans with all stakeholders and had moderate success. Attendance plans are reviewed regularly with input from all and adjustments made as needed.</w:t>
            </w:r>
          </w:p>
        </w:tc>
      </w:tr>
      <w:tr w:rsidR="0024609D" w14:paraId="38467064" w14:textId="77777777" w:rsidTr="007B205B">
        <w:trPr>
          <w:trHeight w:val="15"/>
        </w:trPr>
        <w:tc>
          <w:tcPr>
            <w:tcW w:w="10774" w:type="dxa"/>
            <w:shd w:val="clear" w:color="auto" w:fill="auto"/>
          </w:tcPr>
          <w:p w14:paraId="1563FF51" w14:textId="77777777" w:rsidR="00777DB2" w:rsidRPr="007B205B" w:rsidRDefault="00197531" w:rsidP="00F748EB">
            <w:pPr>
              <w:pStyle w:val="Style1"/>
              <w:spacing w:before="0"/>
              <w:jc w:val="both"/>
              <w:rPr>
                <w:szCs w:val="24"/>
              </w:rPr>
            </w:pPr>
            <w:r w:rsidRPr="009E3F78">
              <w:rPr>
                <w:szCs w:val="24"/>
              </w:rPr>
              <w:t>Wellbeing</w:t>
            </w:r>
          </w:p>
        </w:tc>
      </w:tr>
      <w:tr w:rsidR="0024609D" w14:paraId="5206BE6D" w14:textId="77777777" w:rsidTr="007B205B">
        <w:trPr>
          <w:trHeight w:val="15"/>
        </w:trPr>
        <w:tc>
          <w:tcPr>
            <w:tcW w:w="10774" w:type="dxa"/>
            <w:shd w:val="clear" w:color="auto" w:fill="FFFFFF" w:themeFill="background1"/>
          </w:tcPr>
          <w:p w14:paraId="01526C05" w14:textId="77777777" w:rsidR="00777DB2" w:rsidRPr="007C43EB" w:rsidRDefault="00197531" w:rsidP="00994A0F">
            <w:pPr>
              <w:pStyle w:val="Heading3"/>
              <w:spacing w:before="0" w:after="0"/>
              <w:rPr>
                <w:b w:val="0"/>
                <w:szCs w:val="20"/>
              </w:rPr>
            </w:pPr>
            <w:r>
              <w:rPr>
                <w:b w:val="0"/>
              </w:rPr>
              <w:t>HSS has made improvements in student wellbeing and this is reflected in the Attitudes to School Survey for teacher student relationships for teacher concern, the school had demonstrated consistent high positive results over a 3 year period from 2017- 2019.  2020 results indicated a significant drop from 91% to 69%, 2021 saw our results again rise to 90%. Compared to similar schools with a score of 84%, HSS sits above this average over the 5 years period. The overall results of the Attitude to School Survey reflects consistent scores above other similar schools. Student well being continues to be a focus with Management of Bullying being at the forefront. Our goal on the Parent Opinion Survey to increase the managing of bullying from 82% in 2019 to 90% in 2023 and this has improved significantly from 2017 with results at 75% to an improvement to 88% in 2021, this currently sits above the average of similar schools at 84%. The school will continue to work towards this goal through the introduction of the Real School program in 2022, this program aims to educate the school community on positive engagement at school. This along with the introduction of the Mental Health Practitioner and a continuation of a variety of other engagement programs including Respectful Relationships and Hands on Learning aim to improve the management of bullying at HSS.</w:t>
            </w:r>
          </w:p>
        </w:tc>
      </w:tr>
      <w:tr w:rsidR="0024609D" w14:paraId="70032723" w14:textId="77777777" w:rsidTr="007B205B">
        <w:trPr>
          <w:trHeight w:val="15"/>
        </w:trPr>
        <w:tc>
          <w:tcPr>
            <w:tcW w:w="10774" w:type="dxa"/>
            <w:shd w:val="clear" w:color="auto" w:fill="auto"/>
          </w:tcPr>
          <w:p w14:paraId="67C447CB" w14:textId="77777777" w:rsidR="00777DB2" w:rsidRPr="007B205B" w:rsidRDefault="00197531" w:rsidP="00F748EB">
            <w:pPr>
              <w:pStyle w:val="Style1"/>
              <w:spacing w:before="0"/>
              <w:jc w:val="both"/>
              <w:rPr>
                <w:szCs w:val="24"/>
              </w:rPr>
            </w:pPr>
            <w:r w:rsidRPr="009E3F78">
              <w:rPr>
                <w:szCs w:val="24"/>
              </w:rPr>
              <w:t>Finance performance and position</w:t>
            </w:r>
          </w:p>
        </w:tc>
      </w:tr>
      <w:tr w:rsidR="0024609D" w14:paraId="022FD1D1" w14:textId="77777777" w:rsidTr="007B205B">
        <w:trPr>
          <w:trHeight w:val="15"/>
        </w:trPr>
        <w:tc>
          <w:tcPr>
            <w:tcW w:w="10774" w:type="dxa"/>
            <w:shd w:val="clear" w:color="auto" w:fill="FFFFFF" w:themeFill="background1"/>
          </w:tcPr>
          <w:p w14:paraId="4401553D" w14:textId="77777777" w:rsidR="00777DB2" w:rsidRPr="005A75E6" w:rsidRDefault="00197531" w:rsidP="00994A0F">
            <w:pPr>
              <w:pStyle w:val="Heading3"/>
              <w:spacing w:before="0" w:after="0"/>
              <w:rPr>
                <w:b w:val="0"/>
                <w:szCs w:val="20"/>
              </w:rPr>
            </w:pPr>
            <w:r>
              <w:rPr>
                <w:b w:val="0"/>
              </w:rPr>
              <w:t>Hampden Specialist School maintained a sound financial position throughout 2021. The School Strategic Plan, along with the 2021 Annual Implementation Plan, continued to provide the framework for school council allocation of funds to support school programs and priorities.</w:t>
            </w:r>
            <w:r>
              <w:rPr>
                <w:b w:val="0"/>
              </w:rPr>
              <w:br/>
              <w:t xml:space="preserve">The Financial Performance and Position report shows an end of year surplus of $226,765. The surplus occurred through some programs not running due to COVID. Funding has been allocated to the 2022 budget to upgrade resources, Professional Leaning and facilities as identified for the school. The school will continue to have a focus on engagement through providing facilities, programs and opportunities that are enhancing are improve student outcomes. </w:t>
            </w:r>
          </w:p>
        </w:tc>
      </w:tr>
      <w:tr w:rsidR="0024609D" w14:paraId="0100C521" w14:textId="77777777" w:rsidTr="007B205B">
        <w:trPr>
          <w:trHeight w:val="15"/>
        </w:trPr>
        <w:tc>
          <w:tcPr>
            <w:tcW w:w="10774" w:type="dxa"/>
            <w:shd w:val="clear" w:color="auto" w:fill="auto"/>
          </w:tcPr>
          <w:p w14:paraId="7F90EB6E" w14:textId="77777777" w:rsidR="00BF0096" w:rsidRPr="005A75E6" w:rsidRDefault="003E51D2" w:rsidP="00C71E7A">
            <w:pPr>
              <w:pStyle w:val="Heading3"/>
              <w:spacing w:before="0" w:after="0"/>
              <w:rPr>
                <w:b w:val="0"/>
                <w:szCs w:val="20"/>
              </w:rPr>
            </w:pPr>
          </w:p>
          <w:p w14:paraId="75A4D71E" w14:textId="00C2E396" w:rsidR="0024609D" w:rsidRDefault="00197531">
            <w:pPr>
              <w:spacing w:after="218" w:line="240" w:lineRule="auto"/>
              <w:jc w:val="center"/>
              <w:rPr>
                <w:rFonts w:eastAsia="Arial"/>
                <w:sz w:val="22"/>
                <w:szCs w:val="22"/>
              </w:rPr>
            </w:pPr>
            <w:r>
              <w:rPr>
                <w:rFonts w:eastAsia="Arial"/>
                <w:b/>
                <w:bCs/>
                <w:sz w:val="22"/>
                <w:szCs w:val="22"/>
              </w:rPr>
              <w:lastRenderedPageBreak/>
              <w:t xml:space="preserve">For more detailed information regarding our school please visit our website at </w:t>
            </w:r>
            <w:hyperlink r:id="rId25" w:history="1">
              <w:r>
                <w:rPr>
                  <w:rFonts w:eastAsia="Arial"/>
                  <w:b/>
                  <w:bCs/>
                  <w:color w:val="0000EE"/>
                  <w:sz w:val="22"/>
                  <w:szCs w:val="22"/>
                  <w:u w:val="single"/>
                </w:rPr>
                <w:t xml:space="preserve">www.hampdenss.vic.edu.au </w:t>
              </w:r>
            </w:hyperlink>
          </w:p>
          <w:p w14:paraId="4FDD89EA" w14:textId="77777777" w:rsidR="0024609D" w:rsidRDefault="0024609D"/>
        </w:tc>
      </w:tr>
    </w:tbl>
    <w:p w14:paraId="159744C7" w14:textId="77777777" w:rsidR="005E684F" w:rsidRPr="00FA10DB" w:rsidRDefault="003E51D2" w:rsidP="00F73E5D">
      <w:pPr>
        <w:ind w:right="-632"/>
        <w:rPr>
          <w:b/>
          <w:color w:val="AF272F"/>
          <w:sz w:val="36"/>
          <w:szCs w:val="44"/>
        </w:rPr>
        <w:sectPr w:rsidR="005E684F" w:rsidRPr="00FA10DB" w:rsidSect="005D3640">
          <w:headerReference w:type="default" r:id="rId26"/>
          <w:footerReference w:type="default" r:id="rId27"/>
          <w:headerReference w:type="first" r:id="rId28"/>
          <w:pgSz w:w="11906" w:h="16838" w:code="9"/>
          <w:pgMar w:top="2036" w:right="1240" w:bottom="1304" w:left="1304" w:header="624" w:footer="532" w:gutter="0"/>
          <w:cols w:space="397"/>
          <w:docGrid w:linePitch="360"/>
        </w:sectPr>
      </w:pPr>
    </w:p>
    <w:p w14:paraId="67364C33" w14:textId="77777777" w:rsidR="009E6D61" w:rsidRDefault="00197531" w:rsidP="00B637FF">
      <w:pPr>
        <w:pStyle w:val="Title"/>
      </w:pPr>
      <w:r>
        <w:lastRenderedPageBreak/>
        <w:t>Performance Summary</w:t>
      </w:r>
    </w:p>
    <w:p w14:paraId="291637ED" w14:textId="77777777" w:rsidR="009E6D61" w:rsidRDefault="00197531">
      <w:pPr>
        <w:pStyle w:val="ESBodyText0"/>
      </w:pPr>
      <w:r>
        <w:t>The Performance Summary for government schools provides an overview of how this school is contributing to the objectives of the Education State and how it compares to other Victorian government schools.</w:t>
      </w:r>
    </w:p>
    <w:p w14:paraId="546C56C3" w14:textId="77777777" w:rsidR="009E6D61" w:rsidRDefault="00197531">
      <w:pPr>
        <w:pStyle w:val="ESBodyText0"/>
      </w:pPr>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w:t>
      </w:r>
    </w:p>
    <w:p w14:paraId="5B49649C" w14:textId="77777777" w:rsidR="009E6D61" w:rsidRDefault="00197531">
      <w:pPr>
        <w:pStyle w:val="ESBodyText0"/>
      </w:pPr>
      <w:r>
        <w:t xml:space="preserve">Refer to </w:t>
      </w:r>
      <w:r w:rsidRPr="000203C1">
        <w:t>the ‘How to read the Annual Report’ section</w:t>
      </w:r>
      <w:r>
        <w:t xml:space="preserve"> for help on how to interpret this report.</w:t>
      </w:r>
    </w:p>
    <w:p w14:paraId="29A5927C" w14:textId="77777777" w:rsidR="009E6D61" w:rsidRDefault="00197531" w:rsidP="00B637FF">
      <w:pPr>
        <w:pStyle w:val="Style10"/>
      </w:pPr>
      <w:r>
        <w:t>SCHOOL PROFILE</w:t>
      </w:r>
    </w:p>
    <w:p w14:paraId="4FF16268" w14:textId="77777777" w:rsidR="009E6D61" w:rsidRDefault="00197531" w:rsidP="00B637FF">
      <w:pPr>
        <w:pStyle w:val="ESHeading30"/>
      </w:pPr>
      <w:r>
        <w:t>Enrolment Profile</w:t>
      </w:r>
    </w:p>
    <w:p w14:paraId="7A5914EE" w14:textId="77777777" w:rsidR="009E6D61" w:rsidRDefault="00197531">
      <w:pPr>
        <w:pStyle w:val="ESBodyText0"/>
      </w:pPr>
      <w:r>
        <w:t>A total of   56 students were enrolled at this school in 2021,   19 female and   37 male.</w:t>
      </w:r>
    </w:p>
    <w:p w14:paraId="4684F6E8" w14:textId="77777777" w:rsidR="009E6D61" w:rsidRDefault="00197531">
      <w:pPr>
        <w:pStyle w:val="ESBodyText0"/>
      </w:pPr>
      <w:r>
        <w:t>0 percent of students had English as an additional language and 15 percent were Aboriginal or Torres Strait Islander.</w:t>
      </w:r>
    </w:p>
    <w:p w14:paraId="7600F347" w14:textId="77777777" w:rsidR="009E6D61" w:rsidRPr="00CC37BA" w:rsidRDefault="00197531" w:rsidP="00B637FF">
      <w:pPr>
        <w:pStyle w:val="ESHeading30"/>
        <w:rPr>
          <w:color w:val="auto"/>
        </w:rPr>
      </w:pPr>
      <w:r>
        <w:t xml:space="preserve">Overall Socio-Economic </w:t>
      </w:r>
      <w:r w:rsidRPr="00CC37BA">
        <w:rPr>
          <w:color w:val="auto"/>
        </w:rPr>
        <w:t>Profile</w:t>
      </w:r>
    </w:p>
    <w:p w14:paraId="1D81D232" w14:textId="77777777" w:rsidR="009E6D61" w:rsidRPr="00CC37BA" w:rsidRDefault="00197531">
      <w:pPr>
        <w:pStyle w:val="ESBodyText0"/>
      </w:pPr>
      <w:r w:rsidRPr="00CC37BA">
        <w:t>The overall school’s socio-economic profile is based on the school's Student Family Occupation and Education index (SFOE).</w:t>
      </w:r>
    </w:p>
    <w:p w14:paraId="1869951E" w14:textId="77777777" w:rsidR="009E6D61" w:rsidRPr="00CC37BA" w:rsidRDefault="00197531">
      <w:pPr>
        <w:pStyle w:val="ESBodyText0"/>
      </w:pPr>
      <w:r>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258A6848" w14:textId="77777777" w:rsidR="009E6D61" w:rsidRPr="00CC37BA" w:rsidRDefault="00197531">
      <w:pPr>
        <w:pStyle w:val="ESBodyText0"/>
      </w:pPr>
      <w:r w:rsidRPr="00CC37BA">
        <w:t xml:space="preserve">This school’s </w:t>
      </w:r>
      <w:r>
        <w:t>SFOE</w:t>
      </w:r>
      <w:r w:rsidRPr="00CC37BA">
        <w:t xml:space="preserve"> band value is: </w:t>
      </w:r>
      <w:r>
        <w:t>High</w:t>
      </w:r>
    </w:p>
    <w:p w14:paraId="49CF5777" w14:textId="77777777" w:rsidR="009E6D61" w:rsidRPr="00CC37BA" w:rsidRDefault="00197531" w:rsidP="00B637FF">
      <w:pPr>
        <w:pStyle w:val="ESHeading30"/>
        <w:rPr>
          <w:color w:val="auto"/>
        </w:rPr>
      </w:pPr>
      <w:r w:rsidRPr="00CC37BA">
        <w:rPr>
          <w:color w:val="auto"/>
        </w:rPr>
        <w:t>Parent Satisfaction Summary</w:t>
      </w:r>
    </w:p>
    <w:p w14:paraId="325B4ABF" w14:textId="77777777" w:rsidR="009E6D61" w:rsidRDefault="00197531">
      <w:pPr>
        <w:pStyle w:val="ESBodyText0"/>
      </w:pPr>
      <w:r>
        <w:t>The percent endorsement by parents on their school satisfaction level, as reported in the annual Parent Opinion Survey.</w:t>
      </w:r>
    </w:p>
    <w:p w14:paraId="734F450B" w14:textId="77777777" w:rsidR="009E6D61" w:rsidRDefault="00197531" w:rsidP="00DD3094">
      <w:pPr>
        <w:pStyle w:val="ESBodyText0"/>
        <w:spacing w:after="360"/>
      </w:pPr>
      <w:r>
        <w:rPr>
          <w:noProof/>
        </w:rPr>
        <w:drawing>
          <wp:anchor distT="0" distB="0" distL="114300" distR="114300" simplePos="0" relativeHeight="251666432" behindDoc="0" locked="0" layoutInCell="1" allowOverlap="1" wp14:anchorId="524B5B7D" wp14:editId="3001AD51">
            <wp:simplePos x="0" y="0"/>
            <wp:positionH relativeFrom="column">
              <wp:posOffset>3194038</wp:posOffset>
            </wp:positionH>
            <wp:positionV relativeFrom="paragraph">
              <wp:posOffset>493574</wp:posOffset>
            </wp:positionV>
            <wp:extent cx="3277235" cy="1526875"/>
            <wp:effectExtent l="0" t="0" r="0" b="0"/>
            <wp:wrapNone/>
            <wp:docPr id="8894836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t>Percent endorsement indicates the percent of positive responses (agree or strongly agree) from parents who responded to the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24609D" w14:paraId="2E965775" w14:textId="77777777" w:rsidTr="004071E1">
        <w:trPr>
          <w:trHeight w:hRule="exact" w:val="567"/>
        </w:trPr>
        <w:tc>
          <w:tcPr>
            <w:tcW w:w="3256" w:type="dxa"/>
            <w:vAlign w:val="bottom"/>
          </w:tcPr>
          <w:p w14:paraId="4318B806" w14:textId="77777777" w:rsidR="00786F79" w:rsidRPr="00DF5E8D" w:rsidRDefault="00197531" w:rsidP="004071E1">
            <w:pPr>
              <w:pStyle w:val="ESBodyText0"/>
              <w:rPr>
                <w:b/>
                <w:bCs/>
              </w:rPr>
            </w:pPr>
            <w:r w:rsidRPr="00DF5E8D">
              <w:rPr>
                <w:b/>
                <w:bCs/>
              </w:rPr>
              <w:t>Parent Satisfaction</w:t>
            </w:r>
          </w:p>
        </w:tc>
        <w:tc>
          <w:tcPr>
            <w:tcW w:w="1139" w:type="dxa"/>
            <w:vAlign w:val="bottom"/>
          </w:tcPr>
          <w:p w14:paraId="26588FEE" w14:textId="77777777" w:rsidR="00786F79" w:rsidRPr="00E346A0" w:rsidRDefault="00197531" w:rsidP="004071E1">
            <w:pPr>
              <w:pStyle w:val="ESBodyText0"/>
              <w:jc w:val="center"/>
              <w:rPr>
                <w:b/>
                <w:bCs/>
              </w:rPr>
            </w:pPr>
            <w:r w:rsidRPr="001B1C12">
              <w:t>Latest year (202</w:t>
            </w:r>
            <w:r>
              <w:t>1</w:t>
            </w:r>
            <w:r w:rsidRPr="001B1C12">
              <w:t>)</w:t>
            </w:r>
          </w:p>
        </w:tc>
      </w:tr>
      <w:tr w:rsidR="0024609D" w14:paraId="431791EE" w14:textId="77777777" w:rsidTr="004071E1">
        <w:trPr>
          <w:trHeight w:hRule="exact" w:val="680"/>
        </w:trPr>
        <w:tc>
          <w:tcPr>
            <w:tcW w:w="3256" w:type="dxa"/>
            <w:tcMar>
              <w:top w:w="57" w:type="dxa"/>
            </w:tcMar>
            <w:vAlign w:val="center"/>
          </w:tcPr>
          <w:p w14:paraId="58A5ED9B" w14:textId="77777777" w:rsidR="00786F79" w:rsidRDefault="00197531" w:rsidP="004071E1">
            <w:pPr>
              <w:pStyle w:val="ESBodyText0"/>
            </w:pPr>
            <w:r>
              <w:t>School percent endorsement:</w:t>
            </w:r>
          </w:p>
        </w:tc>
        <w:tc>
          <w:tcPr>
            <w:tcW w:w="1139" w:type="dxa"/>
            <w:tcBorders>
              <w:bottom w:val="single" w:sz="4" w:space="0" w:color="FFFFFF" w:themeColor="background1"/>
            </w:tcBorders>
            <w:shd w:val="clear" w:color="auto" w:fill="FFC000"/>
            <w:tcMar>
              <w:top w:w="57" w:type="dxa"/>
            </w:tcMar>
            <w:vAlign w:val="center"/>
          </w:tcPr>
          <w:p w14:paraId="709945CC" w14:textId="77777777" w:rsidR="00786F79" w:rsidRDefault="00197531" w:rsidP="004071E1">
            <w:pPr>
              <w:pStyle w:val="ESBodyText0"/>
              <w:jc w:val="center"/>
            </w:pPr>
            <w:r>
              <w:t>97.1%</w:t>
            </w:r>
          </w:p>
        </w:tc>
      </w:tr>
      <w:tr w:rsidR="0024609D" w14:paraId="6947A729" w14:textId="77777777" w:rsidTr="004071E1">
        <w:trPr>
          <w:trHeight w:hRule="exact" w:val="680"/>
        </w:trPr>
        <w:tc>
          <w:tcPr>
            <w:tcW w:w="3256" w:type="dxa"/>
            <w:tcMar>
              <w:top w:w="57" w:type="dxa"/>
            </w:tcMar>
            <w:vAlign w:val="center"/>
          </w:tcPr>
          <w:p w14:paraId="7A4623CF" w14:textId="77777777" w:rsidR="00786F79" w:rsidRDefault="00197531" w:rsidP="004071E1">
            <w:pPr>
              <w:pStyle w:val="ESBodyText0"/>
            </w:pPr>
            <w:r>
              <w:t>State average (specialist schools):</w:t>
            </w:r>
          </w:p>
        </w:tc>
        <w:tc>
          <w:tcPr>
            <w:tcW w:w="1139" w:type="dxa"/>
            <w:tcBorders>
              <w:top w:val="single" w:sz="4" w:space="0" w:color="FFFFFF" w:themeColor="background1"/>
            </w:tcBorders>
            <w:shd w:val="clear" w:color="auto" w:fill="A6A6A6" w:themeFill="background1" w:themeFillShade="A6"/>
            <w:tcMar>
              <w:top w:w="57" w:type="dxa"/>
            </w:tcMar>
            <w:vAlign w:val="center"/>
          </w:tcPr>
          <w:p w14:paraId="6FD8BFEC" w14:textId="77777777" w:rsidR="00786F79" w:rsidRDefault="00197531" w:rsidP="004071E1">
            <w:pPr>
              <w:pStyle w:val="ESBodyText0"/>
              <w:jc w:val="center"/>
            </w:pPr>
            <w:r>
              <w:t>85.2%</w:t>
            </w:r>
          </w:p>
        </w:tc>
      </w:tr>
    </w:tbl>
    <w:p w14:paraId="7CE4B56B" w14:textId="77777777" w:rsidR="006D19B6" w:rsidRDefault="003E51D2">
      <w:pPr>
        <w:pStyle w:val="ESBodyText0"/>
        <w:spacing w:after="240"/>
      </w:pPr>
    </w:p>
    <w:p w14:paraId="6D10CECB" w14:textId="77777777" w:rsidR="00001860" w:rsidRDefault="003E51D2">
      <w:pPr>
        <w:pStyle w:val="ESBodyText0"/>
      </w:pPr>
    </w:p>
    <w:p w14:paraId="38DA2494" w14:textId="77777777" w:rsidR="009E6D61" w:rsidRPr="00CC37BA" w:rsidRDefault="00197531" w:rsidP="00B637FF">
      <w:pPr>
        <w:pStyle w:val="ESHeading30"/>
        <w:rPr>
          <w:color w:val="auto"/>
        </w:rPr>
      </w:pPr>
      <w:r>
        <w:t xml:space="preserve">School Staff </w:t>
      </w:r>
      <w:r w:rsidRPr="00CC37BA">
        <w:rPr>
          <w:color w:val="auto"/>
        </w:rPr>
        <w:t>Survey</w:t>
      </w:r>
    </w:p>
    <w:p w14:paraId="23BA0BB9" w14:textId="77777777" w:rsidR="009E6D61" w:rsidRDefault="00197531">
      <w:pPr>
        <w:pStyle w:val="ESBodyText0"/>
      </w:pPr>
      <w:r w:rsidRPr="00CC37BA">
        <w:t xml:space="preserve">The percent endorsement by staff on </w:t>
      </w:r>
      <w:r>
        <w:t>School Climate, as reported in the annual School Staff Survey.</w:t>
      </w:r>
    </w:p>
    <w:p w14:paraId="33607666" w14:textId="77777777" w:rsidR="009E6D61" w:rsidRDefault="00197531">
      <w:pPr>
        <w:pStyle w:val="ESBodyText0"/>
      </w:pPr>
      <w:r>
        <w:t>Percent endorsement indicates the percent of positive responses (agree or strongly agree) from staff who responded to the survey.</w:t>
      </w:r>
    </w:p>
    <w:p w14:paraId="16AAF7C1" w14:textId="77777777" w:rsidR="009E6D61" w:rsidRDefault="00197531" w:rsidP="00DD3094">
      <w:pPr>
        <w:pStyle w:val="ESBodyText0"/>
        <w:spacing w:after="360"/>
      </w:pPr>
      <w:r>
        <w:rPr>
          <w:noProof/>
        </w:rPr>
        <w:drawing>
          <wp:anchor distT="0" distB="0" distL="114300" distR="114300" simplePos="0" relativeHeight="251664384" behindDoc="0" locked="0" layoutInCell="1" allowOverlap="1" wp14:anchorId="4B62CD46" wp14:editId="2869CFE5">
            <wp:simplePos x="0" y="0"/>
            <wp:positionH relativeFrom="column">
              <wp:posOffset>3142280</wp:posOffset>
            </wp:positionH>
            <wp:positionV relativeFrom="paragraph">
              <wp:posOffset>431619</wp:posOffset>
            </wp:positionV>
            <wp:extent cx="3328035" cy="1638875"/>
            <wp:effectExtent l="0" t="0" r="5715" b="0"/>
            <wp:wrapNone/>
            <wp:docPr id="1433499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t>Data is suppressed for schools with three or less respondents to the survey for confidentiality reasons.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24609D" w14:paraId="4697EF56" w14:textId="77777777" w:rsidTr="004071E1">
        <w:trPr>
          <w:trHeight w:hRule="exact" w:val="567"/>
        </w:trPr>
        <w:tc>
          <w:tcPr>
            <w:tcW w:w="3256" w:type="dxa"/>
            <w:vAlign w:val="bottom"/>
          </w:tcPr>
          <w:p w14:paraId="37EF72A4" w14:textId="77777777" w:rsidR="00786F79" w:rsidRPr="00DF5E8D" w:rsidRDefault="00197531" w:rsidP="004071E1">
            <w:pPr>
              <w:pStyle w:val="ESBodyText0"/>
              <w:rPr>
                <w:b/>
                <w:bCs/>
              </w:rPr>
            </w:pPr>
            <w:r>
              <w:rPr>
                <w:b/>
                <w:bCs/>
              </w:rPr>
              <w:t>School Climate</w:t>
            </w:r>
          </w:p>
        </w:tc>
        <w:tc>
          <w:tcPr>
            <w:tcW w:w="1139" w:type="dxa"/>
            <w:vAlign w:val="bottom"/>
          </w:tcPr>
          <w:p w14:paraId="780DDB03" w14:textId="77777777" w:rsidR="00786F79" w:rsidRPr="00E346A0" w:rsidRDefault="00197531" w:rsidP="004071E1">
            <w:pPr>
              <w:pStyle w:val="ESBodyText0"/>
              <w:jc w:val="center"/>
              <w:rPr>
                <w:b/>
                <w:bCs/>
              </w:rPr>
            </w:pPr>
            <w:r w:rsidRPr="001B1C12">
              <w:t>Latest year (202</w:t>
            </w:r>
            <w:r>
              <w:t>1</w:t>
            </w:r>
            <w:r w:rsidRPr="001B1C12">
              <w:t>)</w:t>
            </w:r>
          </w:p>
        </w:tc>
      </w:tr>
      <w:tr w:rsidR="0024609D" w14:paraId="7AE26F8B" w14:textId="77777777" w:rsidTr="004071E1">
        <w:trPr>
          <w:trHeight w:hRule="exact" w:val="680"/>
        </w:trPr>
        <w:tc>
          <w:tcPr>
            <w:tcW w:w="3256" w:type="dxa"/>
            <w:tcMar>
              <w:top w:w="57" w:type="dxa"/>
            </w:tcMar>
            <w:vAlign w:val="center"/>
          </w:tcPr>
          <w:p w14:paraId="4DC589C9" w14:textId="77777777" w:rsidR="00786F79" w:rsidRDefault="00197531" w:rsidP="004071E1">
            <w:pPr>
              <w:pStyle w:val="ESBodyText0"/>
            </w:pPr>
            <w:r>
              <w:t>School percent endorsement:</w:t>
            </w:r>
          </w:p>
        </w:tc>
        <w:tc>
          <w:tcPr>
            <w:tcW w:w="1139" w:type="dxa"/>
            <w:tcBorders>
              <w:bottom w:val="single" w:sz="4" w:space="0" w:color="FFFFFF" w:themeColor="background1"/>
            </w:tcBorders>
            <w:shd w:val="clear" w:color="auto" w:fill="FFC000"/>
            <w:tcMar>
              <w:top w:w="57" w:type="dxa"/>
            </w:tcMar>
            <w:vAlign w:val="center"/>
          </w:tcPr>
          <w:p w14:paraId="2E43D22A" w14:textId="77777777" w:rsidR="00786F79" w:rsidRDefault="00197531" w:rsidP="004071E1">
            <w:pPr>
              <w:pStyle w:val="ESBodyText0"/>
              <w:jc w:val="center"/>
            </w:pPr>
            <w:r>
              <w:t>83.1%</w:t>
            </w:r>
          </w:p>
        </w:tc>
      </w:tr>
      <w:tr w:rsidR="0024609D" w14:paraId="74C9D04D" w14:textId="77777777" w:rsidTr="004071E1">
        <w:trPr>
          <w:trHeight w:hRule="exact" w:val="680"/>
        </w:trPr>
        <w:tc>
          <w:tcPr>
            <w:tcW w:w="3256" w:type="dxa"/>
            <w:tcMar>
              <w:top w:w="57" w:type="dxa"/>
            </w:tcMar>
            <w:vAlign w:val="center"/>
          </w:tcPr>
          <w:p w14:paraId="5BDE22FA" w14:textId="77777777" w:rsidR="00786F79" w:rsidRDefault="00197531" w:rsidP="004071E1">
            <w:pPr>
              <w:pStyle w:val="ESBodyText0"/>
            </w:pPr>
            <w:r>
              <w:t>State average (specialist schools):</w:t>
            </w:r>
          </w:p>
        </w:tc>
        <w:tc>
          <w:tcPr>
            <w:tcW w:w="1139" w:type="dxa"/>
            <w:tcBorders>
              <w:top w:val="single" w:sz="4" w:space="0" w:color="FFFFFF" w:themeColor="background1"/>
            </w:tcBorders>
            <w:shd w:val="clear" w:color="auto" w:fill="A6A6A6" w:themeFill="background1" w:themeFillShade="A6"/>
            <w:tcMar>
              <w:top w:w="57" w:type="dxa"/>
            </w:tcMar>
            <w:vAlign w:val="center"/>
          </w:tcPr>
          <w:p w14:paraId="73F0B7D8" w14:textId="77777777" w:rsidR="00786F79" w:rsidRDefault="00197531" w:rsidP="004071E1">
            <w:pPr>
              <w:pStyle w:val="ESBodyText0"/>
              <w:jc w:val="center"/>
            </w:pPr>
            <w:r>
              <w:t>64.9%</w:t>
            </w:r>
          </w:p>
        </w:tc>
      </w:tr>
    </w:tbl>
    <w:p w14:paraId="7D491D78" w14:textId="77777777" w:rsidR="008A7465" w:rsidRDefault="00197531" w:rsidP="008A7465">
      <w:pPr>
        <w:spacing w:after="0" w:line="240" w:lineRule="auto"/>
        <w:rPr>
          <w:u w:val="single"/>
        </w:rPr>
      </w:pPr>
      <w:r>
        <w:rPr>
          <w:u w:val="single"/>
        </w:rPr>
        <w:br w:type="page"/>
      </w:r>
    </w:p>
    <w:p w14:paraId="78FC7C67" w14:textId="77777777" w:rsidR="00994914" w:rsidRDefault="00197531" w:rsidP="00D60DA2">
      <w:pPr>
        <w:pStyle w:val="Style10"/>
        <w:spacing w:before="80"/>
      </w:pPr>
      <w:r>
        <w:lastRenderedPageBreak/>
        <w:t>ACHIEVEMENT</w:t>
      </w:r>
    </w:p>
    <w:p w14:paraId="093D6658" w14:textId="77777777" w:rsidR="009E6D61" w:rsidRPr="00994914" w:rsidRDefault="00197531" w:rsidP="00B5295C">
      <w:pPr>
        <w:pStyle w:val="ESHeading30"/>
      </w:pPr>
      <w:r>
        <w:t>Teacher Judgement of student achievement</w:t>
      </w:r>
    </w:p>
    <w:p w14:paraId="138BF93D" w14:textId="77777777" w:rsidR="00E5145E" w:rsidRDefault="00197531" w:rsidP="00B5295C">
      <w:pPr>
        <w:pStyle w:val="ESBodyText0"/>
      </w:pPr>
      <w:r>
        <w:t>Percent of results at each achievement level in English and Mathematics.</w:t>
      </w:r>
    </w:p>
    <w:p w14:paraId="7BE566A2" w14:textId="77777777" w:rsidR="004F0C45" w:rsidRDefault="00197531" w:rsidP="00765A56">
      <w:pPr>
        <w:spacing w:before="240" w:line="240" w:lineRule="auto"/>
        <w:rPr>
          <w:rFonts w:eastAsia="Times New Roman"/>
          <w:b/>
          <w:bCs/>
          <w:color w:val="000000"/>
          <w:lang w:val="en-AU" w:eastAsia="en-AU"/>
        </w:rPr>
      </w:pPr>
      <w:r w:rsidRPr="000E2D23">
        <w:rPr>
          <w:rFonts w:eastAsia="Times New Roman"/>
          <w:b/>
          <w:bCs/>
          <w:color w:val="000000"/>
          <w:lang w:val="en-AU" w:eastAsia="en-AU"/>
        </w:rPr>
        <w:t>English</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556"/>
      </w:tblGrid>
      <w:tr w:rsidR="0024609D" w14:paraId="2C53A904" w14:textId="77777777" w:rsidTr="00712CAE">
        <w:trPr>
          <w:trHeight w:hRule="exact" w:val="567"/>
        </w:trPr>
        <w:tc>
          <w:tcPr>
            <w:tcW w:w="1538" w:type="dxa"/>
            <w:tcBorders>
              <w:bottom w:val="single" w:sz="4" w:space="0" w:color="BFBFBF" w:themeColor="background1" w:themeShade="BF"/>
            </w:tcBorders>
            <w:vAlign w:val="bottom"/>
          </w:tcPr>
          <w:p w14:paraId="2A9F4E03" w14:textId="77777777" w:rsidR="00875122" w:rsidRPr="00875122" w:rsidRDefault="00197531" w:rsidP="00875122">
            <w:pPr>
              <w:spacing w:after="0" w:line="240" w:lineRule="auto"/>
              <w:jc w:val="center"/>
              <w:rPr>
                <w:rFonts w:ascii="Calibri" w:eastAsia="Times New Roman" w:hAnsi="Calibri" w:cs="Calibri"/>
                <w:sz w:val="22"/>
                <w:szCs w:val="22"/>
                <w:lang w:val="en-AU" w:eastAsia="en-AU"/>
              </w:rPr>
            </w:pPr>
            <w:r w:rsidRPr="00875122">
              <w:rPr>
                <w:rFonts w:ascii="Calibri" w:eastAsia="Times New Roman" w:hAnsi="Calibri" w:cs="Calibri"/>
                <w:sz w:val="22"/>
                <w:szCs w:val="22"/>
                <w:lang w:val="en-AU" w:eastAsia="en-AU"/>
              </w:rPr>
              <w:t>Achievement Level</w:t>
            </w:r>
          </w:p>
        </w:tc>
        <w:tc>
          <w:tcPr>
            <w:tcW w:w="1556" w:type="dxa"/>
            <w:tcBorders>
              <w:bottom w:val="single" w:sz="4" w:space="0" w:color="BFBFBF" w:themeColor="background1" w:themeShade="BF"/>
            </w:tcBorders>
            <w:vAlign w:val="bottom"/>
          </w:tcPr>
          <w:p w14:paraId="3C8097FD" w14:textId="77777777" w:rsidR="00875122" w:rsidRPr="00875122" w:rsidRDefault="00197531" w:rsidP="00875122">
            <w:pPr>
              <w:spacing w:after="0" w:line="240" w:lineRule="auto"/>
              <w:jc w:val="center"/>
              <w:rPr>
                <w:rFonts w:ascii="Calibri" w:eastAsia="Times New Roman" w:hAnsi="Calibri" w:cs="Calibri"/>
                <w:sz w:val="22"/>
                <w:szCs w:val="22"/>
                <w:lang w:val="en-AU" w:eastAsia="en-AU"/>
              </w:rPr>
            </w:pPr>
            <w:r>
              <w:rPr>
                <w:noProof/>
              </w:rPr>
              <w:drawing>
                <wp:anchor distT="0" distB="0" distL="114300" distR="114300" simplePos="0" relativeHeight="251661312" behindDoc="0" locked="0" layoutInCell="1" allowOverlap="1" wp14:anchorId="7E595962" wp14:editId="44C6F299">
                  <wp:simplePos x="0" y="0"/>
                  <wp:positionH relativeFrom="margin">
                    <wp:posOffset>702310</wp:posOffset>
                  </wp:positionH>
                  <wp:positionV relativeFrom="paragraph">
                    <wp:posOffset>45085</wp:posOffset>
                  </wp:positionV>
                  <wp:extent cx="4724400" cy="398145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Pr="00875122">
              <w:rPr>
                <w:rFonts w:ascii="Calibri" w:eastAsia="Times New Roman" w:hAnsi="Calibri" w:cs="Calibri"/>
                <w:sz w:val="22"/>
                <w:szCs w:val="22"/>
                <w:lang w:val="en-AU" w:eastAsia="en-AU"/>
              </w:rPr>
              <w:t>Latest year (202</w:t>
            </w:r>
            <w:r>
              <w:rPr>
                <w:rFonts w:ascii="Calibri" w:eastAsia="Times New Roman" w:hAnsi="Calibri" w:cs="Calibri"/>
                <w:sz w:val="22"/>
                <w:szCs w:val="22"/>
                <w:lang w:val="en-AU" w:eastAsia="en-AU"/>
              </w:rPr>
              <w:t>1</w:t>
            </w:r>
            <w:r w:rsidRPr="00875122">
              <w:rPr>
                <w:rFonts w:ascii="Calibri" w:eastAsia="Times New Roman" w:hAnsi="Calibri" w:cs="Calibri"/>
                <w:sz w:val="22"/>
                <w:szCs w:val="22"/>
                <w:lang w:val="en-AU" w:eastAsia="en-AU"/>
              </w:rPr>
              <w:t>)</w:t>
            </w:r>
          </w:p>
        </w:tc>
      </w:tr>
      <w:tr w:rsidR="0024609D" w14:paraId="23EC4122" w14:textId="77777777" w:rsidTr="00712CAE">
        <w:trPr>
          <w:trHeight w:hRule="exact" w:val="284"/>
        </w:trPr>
        <w:tc>
          <w:tcPr>
            <w:tcW w:w="1538" w:type="dxa"/>
            <w:tcBorders>
              <w:top w:val="single" w:sz="4" w:space="0" w:color="BFBFBF" w:themeColor="background1" w:themeShade="BF"/>
            </w:tcBorders>
            <w:vAlign w:val="center"/>
          </w:tcPr>
          <w:p w14:paraId="2087CBB5" w14:textId="77777777" w:rsidR="00875122" w:rsidRPr="00875122" w:rsidRDefault="00197531"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A</w:t>
            </w:r>
          </w:p>
        </w:tc>
        <w:tc>
          <w:tcPr>
            <w:tcW w:w="1556" w:type="dxa"/>
            <w:tcBorders>
              <w:top w:val="single" w:sz="4" w:space="0" w:color="BFBFBF" w:themeColor="background1" w:themeShade="BF"/>
            </w:tcBorders>
            <w:shd w:val="clear" w:color="auto" w:fill="FFC000"/>
            <w:vAlign w:val="center"/>
          </w:tcPr>
          <w:p w14:paraId="149E9CA6" w14:textId="77777777" w:rsidR="00875122"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2.0%</w:t>
            </w:r>
          </w:p>
        </w:tc>
      </w:tr>
      <w:tr w:rsidR="0024609D" w14:paraId="48D45E28" w14:textId="77777777" w:rsidTr="00712CAE">
        <w:trPr>
          <w:trHeight w:hRule="exact" w:val="284"/>
        </w:trPr>
        <w:tc>
          <w:tcPr>
            <w:tcW w:w="1538" w:type="dxa"/>
            <w:vAlign w:val="center"/>
          </w:tcPr>
          <w:p w14:paraId="398B6B00" w14:textId="77777777" w:rsidR="00875122" w:rsidRPr="00875122" w:rsidRDefault="00197531"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B</w:t>
            </w:r>
          </w:p>
        </w:tc>
        <w:tc>
          <w:tcPr>
            <w:tcW w:w="1556" w:type="dxa"/>
            <w:shd w:val="clear" w:color="auto" w:fill="FFC000"/>
            <w:vAlign w:val="center"/>
          </w:tcPr>
          <w:p w14:paraId="3494BAF0" w14:textId="77777777" w:rsidR="00875122"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NDA</w:t>
            </w:r>
          </w:p>
        </w:tc>
      </w:tr>
      <w:tr w:rsidR="0024609D" w14:paraId="4C15458E" w14:textId="77777777" w:rsidTr="00712CAE">
        <w:trPr>
          <w:trHeight w:hRule="exact" w:val="284"/>
        </w:trPr>
        <w:tc>
          <w:tcPr>
            <w:tcW w:w="1538" w:type="dxa"/>
            <w:vAlign w:val="center"/>
          </w:tcPr>
          <w:p w14:paraId="162CFDA0" w14:textId="77777777" w:rsidR="00875122" w:rsidRPr="00875122" w:rsidRDefault="00197531"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C</w:t>
            </w:r>
          </w:p>
        </w:tc>
        <w:tc>
          <w:tcPr>
            <w:tcW w:w="1556" w:type="dxa"/>
            <w:shd w:val="clear" w:color="auto" w:fill="FFC000"/>
            <w:vAlign w:val="center"/>
          </w:tcPr>
          <w:p w14:paraId="570A957A" w14:textId="77777777" w:rsidR="00875122"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5.4%</w:t>
            </w:r>
          </w:p>
        </w:tc>
      </w:tr>
      <w:tr w:rsidR="0024609D" w14:paraId="1F6499E4" w14:textId="77777777" w:rsidTr="00712CAE">
        <w:trPr>
          <w:trHeight w:hRule="exact" w:val="284"/>
        </w:trPr>
        <w:tc>
          <w:tcPr>
            <w:tcW w:w="1538" w:type="dxa"/>
            <w:vAlign w:val="center"/>
          </w:tcPr>
          <w:p w14:paraId="671A496D" w14:textId="77777777" w:rsidR="00875122" w:rsidRPr="00875122" w:rsidRDefault="00197531"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D</w:t>
            </w:r>
          </w:p>
        </w:tc>
        <w:tc>
          <w:tcPr>
            <w:tcW w:w="1556" w:type="dxa"/>
            <w:shd w:val="clear" w:color="auto" w:fill="FFC000"/>
            <w:vAlign w:val="center"/>
          </w:tcPr>
          <w:p w14:paraId="767FC990" w14:textId="77777777" w:rsidR="00875122"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6.1%</w:t>
            </w:r>
          </w:p>
        </w:tc>
      </w:tr>
      <w:tr w:rsidR="0024609D" w14:paraId="535CEC57" w14:textId="77777777" w:rsidTr="00712CAE">
        <w:trPr>
          <w:trHeight w:hRule="exact" w:val="284"/>
        </w:trPr>
        <w:tc>
          <w:tcPr>
            <w:tcW w:w="1538" w:type="dxa"/>
            <w:vAlign w:val="center"/>
          </w:tcPr>
          <w:p w14:paraId="71708DFA" w14:textId="77777777" w:rsidR="00875122" w:rsidRPr="00875122" w:rsidRDefault="00197531"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0.5</w:t>
            </w:r>
          </w:p>
        </w:tc>
        <w:tc>
          <w:tcPr>
            <w:tcW w:w="1556" w:type="dxa"/>
            <w:shd w:val="clear" w:color="auto" w:fill="FFC000"/>
            <w:vAlign w:val="center"/>
          </w:tcPr>
          <w:p w14:paraId="06039AF9" w14:textId="77777777" w:rsidR="00875122"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6.1%</w:t>
            </w:r>
          </w:p>
        </w:tc>
      </w:tr>
      <w:tr w:rsidR="0024609D" w14:paraId="58F5A750" w14:textId="77777777" w:rsidTr="00712CAE">
        <w:trPr>
          <w:trHeight w:hRule="exact" w:val="284"/>
        </w:trPr>
        <w:tc>
          <w:tcPr>
            <w:tcW w:w="1538" w:type="dxa"/>
            <w:vAlign w:val="center"/>
          </w:tcPr>
          <w:p w14:paraId="2EE3B40D" w14:textId="77777777" w:rsidR="00875122" w:rsidRPr="00875122" w:rsidRDefault="00197531" w:rsidP="00875122">
            <w:pPr>
              <w:spacing w:after="0" w:line="240" w:lineRule="auto"/>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F to F.5</w:t>
            </w:r>
          </w:p>
        </w:tc>
        <w:tc>
          <w:tcPr>
            <w:tcW w:w="1556" w:type="dxa"/>
            <w:shd w:val="clear" w:color="auto" w:fill="FFC000"/>
            <w:vAlign w:val="center"/>
          </w:tcPr>
          <w:p w14:paraId="707F2685" w14:textId="77777777" w:rsidR="00875122"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23.1%</w:t>
            </w:r>
          </w:p>
        </w:tc>
      </w:tr>
      <w:tr w:rsidR="0024609D" w14:paraId="068428D2" w14:textId="77777777" w:rsidTr="00712CAE">
        <w:trPr>
          <w:trHeight w:hRule="exact" w:val="284"/>
        </w:trPr>
        <w:tc>
          <w:tcPr>
            <w:tcW w:w="1538" w:type="dxa"/>
            <w:vAlign w:val="bottom"/>
          </w:tcPr>
          <w:p w14:paraId="63209096"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1 to 1.5</w:t>
            </w:r>
          </w:p>
        </w:tc>
        <w:tc>
          <w:tcPr>
            <w:tcW w:w="1556" w:type="dxa"/>
            <w:shd w:val="clear" w:color="auto" w:fill="FFC000"/>
            <w:vAlign w:val="bottom"/>
          </w:tcPr>
          <w:p w14:paraId="7357B33D"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10.9%</w:t>
            </w:r>
          </w:p>
        </w:tc>
      </w:tr>
      <w:tr w:rsidR="0024609D" w14:paraId="506D7F6A" w14:textId="77777777" w:rsidTr="00712CAE">
        <w:trPr>
          <w:trHeight w:hRule="exact" w:val="284"/>
        </w:trPr>
        <w:tc>
          <w:tcPr>
            <w:tcW w:w="1538" w:type="dxa"/>
            <w:vAlign w:val="bottom"/>
          </w:tcPr>
          <w:p w14:paraId="171EA4EF"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2 to 2.5</w:t>
            </w:r>
          </w:p>
        </w:tc>
        <w:tc>
          <w:tcPr>
            <w:tcW w:w="1556" w:type="dxa"/>
            <w:shd w:val="clear" w:color="auto" w:fill="FFC000"/>
            <w:vAlign w:val="bottom"/>
          </w:tcPr>
          <w:p w14:paraId="0DAA117C"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15.6%</w:t>
            </w:r>
          </w:p>
        </w:tc>
      </w:tr>
      <w:tr w:rsidR="0024609D" w14:paraId="44EC91FC" w14:textId="77777777" w:rsidTr="00712CAE">
        <w:trPr>
          <w:trHeight w:hRule="exact" w:val="284"/>
        </w:trPr>
        <w:tc>
          <w:tcPr>
            <w:tcW w:w="1538" w:type="dxa"/>
            <w:vAlign w:val="bottom"/>
          </w:tcPr>
          <w:p w14:paraId="13BDD649"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3 to 3.5</w:t>
            </w:r>
          </w:p>
        </w:tc>
        <w:tc>
          <w:tcPr>
            <w:tcW w:w="1556" w:type="dxa"/>
            <w:shd w:val="clear" w:color="auto" w:fill="FFC000"/>
            <w:vAlign w:val="bottom"/>
          </w:tcPr>
          <w:p w14:paraId="74D25AA6"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17.0%</w:t>
            </w:r>
          </w:p>
        </w:tc>
      </w:tr>
      <w:tr w:rsidR="0024609D" w14:paraId="435176B8" w14:textId="77777777" w:rsidTr="00712CAE">
        <w:trPr>
          <w:trHeight w:hRule="exact" w:val="284"/>
        </w:trPr>
        <w:tc>
          <w:tcPr>
            <w:tcW w:w="1538" w:type="dxa"/>
            <w:vAlign w:val="bottom"/>
          </w:tcPr>
          <w:p w14:paraId="42A937CE"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4 to 4.5</w:t>
            </w:r>
          </w:p>
        </w:tc>
        <w:tc>
          <w:tcPr>
            <w:tcW w:w="1556" w:type="dxa"/>
            <w:shd w:val="clear" w:color="auto" w:fill="FFC000"/>
            <w:vAlign w:val="bottom"/>
          </w:tcPr>
          <w:p w14:paraId="70CEA9B5"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12.2%</w:t>
            </w:r>
          </w:p>
        </w:tc>
      </w:tr>
      <w:tr w:rsidR="0024609D" w14:paraId="64361FC0" w14:textId="77777777" w:rsidTr="00712CAE">
        <w:trPr>
          <w:trHeight w:hRule="exact" w:val="284"/>
        </w:trPr>
        <w:tc>
          <w:tcPr>
            <w:tcW w:w="1538" w:type="dxa"/>
            <w:vAlign w:val="bottom"/>
          </w:tcPr>
          <w:p w14:paraId="27445553"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5 to 5.5</w:t>
            </w:r>
          </w:p>
        </w:tc>
        <w:tc>
          <w:tcPr>
            <w:tcW w:w="1556" w:type="dxa"/>
            <w:shd w:val="clear" w:color="auto" w:fill="FFC000"/>
            <w:vAlign w:val="bottom"/>
          </w:tcPr>
          <w:p w14:paraId="038A1AE3"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1.4%</w:t>
            </w:r>
          </w:p>
        </w:tc>
      </w:tr>
      <w:tr w:rsidR="0024609D" w14:paraId="3918B9BB" w14:textId="77777777" w:rsidTr="00712CAE">
        <w:trPr>
          <w:trHeight w:hRule="exact" w:val="284"/>
        </w:trPr>
        <w:tc>
          <w:tcPr>
            <w:tcW w:w="1538" w:type="dxa"/>
            <w:vAlign w:val="bottom"/>
          </w:tcPr>
          <w:p w14:paraId="0B6CE5D1"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6 to 6.5</w:t>
            </w:r>
          </w:p>
        </w:tc>
        <w:tc>
          <w:tcPr>
            <w:tcW w:w="1556" w:type="dxa"/>
            <w:shd w:val="clear" w:color="auto" w:fill="FFC000"/>
            <w:vAlign w:val="bottom"/>
          </w:tcPr>
          <w:p w14:paraId="6BB926F7"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6A5FDBC6" w14:textId="77777777" w:rsidTr="00712CAE">
        <w:trPr>
          <w:trHeight w:hRule="exact" w:val="284"/>
        </w:trPr>
        <w:tc>
          <w:tcPr>
            <w:tcW w:w="1538" w:type="dxa"/>
            <w:vAlign w:val="bottom"/>
          </w:tcPr>
          <w:p w14:paraId="049A1946"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7 to 7.5</w:t>
            </w:r>
          </w:p>
        </w:tc>
        <w:tc>
          <w:tcPr>
            <w:tcW w:w="1556" w:type="dxa"/>
            <w:shd w:val="clear" w:color="auto" w:fill="FFC000"/>
            <w:vAlign w:val="bottom"/>
          </w:tcPr>
          <w:p w14:paraId="26C839D8"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23CE46C6" w14:textId="77777777" w:rsidTr="00712CAE">
        <w:trPr>
          <w:trHeight w:hRule="exact" w:val="284"/>
        </w:trPr>
        <w:tc>
          <w:tcPr>
            <w:tcW w:w="1538" w:type="dxa"/>
            <w:vAlign w:val="bottom"/>
          </w:tcPr>
          <w:p w14:paraId="7A7F1FA1"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8 to 8.5</w:t>
            </w:r>
          </w:p>
        </w:tc>
        <w:tc>
          <w:tcPr>
            <w:tcW w:w="1556" w:type="dxa"/>
            <w:shd w:val="clear" w:color="auto" w:fill="FFC000"/>
            <w:vAlign w:val="bottom"/>
          </w:tcPr>
          <w:p w14:paraId="79ED687C"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2EA77AEA" w14:textId="77777777" w:rsidTr="00712CAE">
        <w:trPr>
          <w:trHeight w:hRule="exact" w:val="284"/>
        </w:trPr>
        <w:tc>
          <w:tcPr>
            <w:tcW w:w="1538" w:type="dxa"/>
            <w:vAlign w:val="bottom"/>
          </w:tcPr>
          <w:p w14:paraId="3B7DD8CC"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9 to 9.5</w:t>
            </w:r>
          </w:p>
        </w:tc>
        <w:tc>
          <w:tcPr>
            <w:tcW w:w="1556" w:type="dxa"/>
            <w:shd w:val="clear" w:color="auto" w:fill="FFC000"/>
            <w:vAlign w:val="bottom"/>
          </w:tcPr>
          <w:p w14:paraId="65F2CCCB"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55133810" w14:textId="77777777" w:rsidTr="00712CAE">
        <w:trPr>
          <w:trHeight w:hRule="exact" w:val="284"/>
        </w:trPr>
        <w:tc>
          <w:tcPr>
            <w:tcW w:w="1538" w:type="dxa"/>
            <w:vAlign w:val="bottom"/>
          </w:tcPr>
          <w:p w14:paraId="6A231D73"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10 to 10.5</w:t>
            </w:r>
          </w:p>
        </w:tc>
        <w:tc>
          <w:tcPr>
            <w:tcW w:w="1556" w:type="dxa"/>
            <w:shd w:val="clear" w:color="auto" w:fill="FFC000"/>
            <w:vAlign w:val="bottom"/>
          </w:tcPr>
          <w:p w14:paraId="602DB8B1"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75C92419" w14:textId="77777777" w:rsidTr="00712CAE">
        <w:trPr>
          <w:trHeight w:hRule="exact" w:val="284"/>
        </w:trPr>
        <w:tc>
          <w:tcPr>
            <w:tcW w:w="1538" w:type="dxa"/>
            <w:vAlign w:val="bottom"/>
          </w:tcPr>
          <w:p w14:paraId="5D5AAEE1"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11 to 11.5</w:t>
            </w:r>
          </w:p>
        </w:tc>
        <w:tc>
          <w:tcPr>
            <w:tcW w:w="1556" w:type="dxa"/>
            <w:shd w:val="clear" w:color="auto" w:fill="FFC000"/>
            <w:vAlign w:val="bottom"/>
          </w:tcPr>
          <w:p w14:paraId="7AF3CB3F"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66394D5E" w14:textId="77777777" w:rsidTr="00712CAE">
        <w:trPr>
          <w:trHeight w:hRule="exact" w:val="284"/>
        </w:trPr>
        <w:tc>
          <w:tcPr>
            <w:tcW w:w="1538" w:type="dxa"/>
            <w:tcBorders>
              <w:bottom w:val="single" w:sz="4" w:space="0" w:color="BFBFBF" w:themeColor="background1" w:themeShade="BF"/>
            </w:tcBorders>
            <w:vAlign w:val="bottom"/>
          </w:tcPr>
          <w:p w14:paraId="407AC8CB" w14:textId="77777777" w:rsidR="00712CAE" w:rsidRPr="00875122" w:rsidRDefault="00197531" w:rsidP="00712CAE">
            <w:pPr>
              <w:spacing w:after="0" w:line="240" w:lineRule="auto"/>
              <w:rPr>
                <w:rFonts w:ascii="Calibri" w:eastAsia="Times New Roman" w:hAnsi="Calibri" w:cs="Calibri"/>
                <w:sz w:val="22"/>
                <w:szCs w:val="22"/>
                <w:lang w:val="en-AU" w:eastAsia="en-AU"/>
              </w:rPr>
            </w:pPr>
            <w:r w:rsidRPr="006F6A95">
              <w:rPr>
                <w:rFonts w:ascii="Calibri" w:eastAsia="Times New Roman" w:hAnsi="Calibri" w:cs="Calibri"/>
                <w:color w:val="000000"/>
                <w:sz w:val="22"/>
                <w:szCs w:val="22"/>
                <w:lang w:val="en-AU" w:eastAsia="en-AU"/>
              </w:rPr>
              <w:t>NA</w:t>
            </w:r>
          </w:p>
        </w:tc>
        <w:tc>
          <w:tcPr>
            <w:tcW w:w="1556" w:type="dxa"/>
            <w:tcBorders>
              <w:bottom w:val="single" w:sz="4" w:space="0" w:color="BFBFBF" w:themeColor="background1" w:themeShade="BF"/>
            </w:tcBorders>
            <w:shd w:val="clear" w:color="auto" w:fill="FFC000"/>
            <w:vAlign w:val="bottom"/>
          </w:tcPr>
          <w:p w14:paraId="4175FB5F" w14:textId="77777777" w:rsidR="00712CAE" w:rsidRPr="00875122" w:rsidRDefault="00197531" w:rsidP="00712CAE">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bl>
    <w:p w14:paraId="3F59F188" w14:textId="77777777" w:rsidR="00875122" w:rsidRDefault="003E51D2" w:rsidP="00B5295C">
      <w:pPr>
        <w:spacing w:before="240" w:after="240" w:line="240" w:lineRule="auto"/>
        <w:rPr>
          <w:rFonts w:eastAsia="Times New Roman"/>
          <w:b/>
          <w:bCs/>
          <w:color w:val="000000"/>
          <w:lang w:val="en-AU" w:eastAsia="en-AU"/>
        </w:rPr>
      </w:pPr>
    </w:p>
    <w:p w14:paraId="7893B4D6" w14:textId="77777777" w:rsidR="00AD28B5" w:rsidRPr="004F0C45" w:rsidRDefault="00197531" w:rsidP="00765A56">
      <w:pPr>
        <w:pStyle w:val="ESBodyText0"/>
        <w:spacing w:before="120" w:line="240" w:lineRule="auto"/>
        <w:rPr>
          <w:b/>
          <w:bCs/>
        </w:rPr>
      </w:pPr>
      <w:r>
        <w:rPr>
          <w:noProof/>
        </w:rPr>
        <w:drawing>
          <wp:anchor distT="0" distB="0" distL="114300" distR="114300" simplePos="0" relativeHeight="251662336" behindDoc="0" locked="0" layoutInCell="1" allowOverlap="1" wp14:anchorId="1F55A3F0" wp14:editId="337EE530">
            <wp:simplePos x="0" y="0"/>
            <wp:positionH relativeFrom="margin">
              <wp:posOffset>2266315</wp:posOffset>
            </wp:positionH>
            <wp:positionV relativeFrom="paragraph">
              <wp:posOffset>196850</wp:posOffset>
            </wp:positionV>
            <wp:extent cx="4572000" cy="4025900"/>
            <wp:effectExtent l="0" t="0" r="0" b="0"/>
            <wp:wrapNone/>
            <wp:docPr id="87173076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4F0C45">
        <w:rPr>
          <w:b/>
          <w:bCs/>
        </w:rPr>
        <w:t>Mathematics</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556"/>
      </w:tblGrid>
      <w:tr w:rsidR="0024609D" w14:paraId="4F3C182F" w14:textId="77777777" w:rsidTr="004071E1">
        <w:trPr>
          <w:trHeight w:hRule="exact" w:val="567"/>
        </w:trPr>
        <w:tc>
          <w:tcPr>
            <w:tcW w:w="1538" w:type="dxa"/>
            <w:tcBorders>
              <w:bottom w:val="single" w:sz="4" w:space="0" w:color="BFBFBF" w:themeColor="background1" w:themeShade="BF"/>
            </w:tcBorders>
            <w:vAlign w:val="bottom"/>
          </w:tcPr>
          <w:p w14:paraId="558D6C0E" w14:textId="77777777" w:rsidR="00765A56" w:rsidRPr="00875122" w:rsidRDefault="00197531" w:rsidP="004071E1">
            <w:pPr>
              <w:spacing w:after="0" w:line="240" w:lineRule="auto"/>
              <w:jc w:val="center"/>
              <w:rPr>
                <w:rFonts w:ascii="Calibri" w:eastAsia="Times New Roman" w:hAnsi="Calibri" w:cs="Calibri"/>
                <w:sz w:val="22"/>
                <w:szCs w:val="22"/>
                <w:lang w:val="en-AU" w:eastAsia="en-AU"/>
              </w:rPr>
            </w:pPr>
            <w:r w:rsidRPr="00875122">
              <w:rPr>
                <w:rFonts w:ascii="Calibri" w:eastAsia="Times New Roman" w:hAnsi="Calibri" w:cs="Calibri"/>
                <w:sz w:val="22"/>
                <w:szCs w:val="22"/>
                <w:lang w:val="en-AU" w:eastAsia="en-AU"/>
              </w:rPr>
              <w:t>Achievement Level</w:t>
            </w:r>
          </w:p>
        </w:tc>
        <w:tc>
          <w:tcPr>
            <w:tcW w:w="1556" w:type="dxa"/>
            <w:tcBorders>
              <w:bottom w:val="single" w:sz="4" w:space="0" w:color="BFBFBF" w:themeColor="background1" w:themeShade="BF"/>
            </w:tcBorders>
            <w:vAlign w:val="bottom"/>
          </w:tcPr>
          <w:p w14:paraId="2D7727BC" w14:textId="77777777" w:rsidR="00765A56" w:rsidRPr="00875122" w:rsidRDefault="00197531" w:rsidP="004071E1">
            <w:pPr>
              <w:spacing w:after="0" w:line="240" w:lineRule="auto"/>
              <w:jc w:val="center"/>
              <w:rPr>
                <w:rFonts w:ascii="Calibri" w:eastAsia="Times New Roman" w:hAnsi="Calibri" w:cs="Calibri"/>
                <w:sz w:val="22"/>
                <w:szCs w:val="22"/>
                <w:lang w:val="en-AU" w:eastAsia="en-AU"/>
              </w:rPr>
            </w:pPr>
            <w:r w:rsidRPr="00875122">
              <w:rPr>
                <w:rFonts w:ascii="Calibri" w:eastAsia="Times New Roman" w:hAnsi="Calibri" w:cs="Calibri"/>
                <w:sz w:val="22"/>
                <w:szCs w:val="22"/>
                <w:lang w:val="en-AU" w:eastAsia="en-AU"/>
              </w:rPr>
              <w:t>Latest year (202</w:t>
            </w:r>
            <w:r>
              <w:rPr>
                <w:rFonts w:ascii="Calibri" w:eastAsia="Times New Roman" w:hAnsi="Calibri" w:cs="Calibri"/>
                <w:sz w:val="22"/>
                <w:szCs w:val="22"/>
                <w:lang w:val="en-AU" w:eastAsia="en-AU"/>
              </w:rPr>
              <w:t>1</w:t>
            </w:r>
            <w:r w:rsidRPr="00875122">
              <w:rPr>
                <w:rFonts w:ascii="Calibri" w:eastAsia="Times New Roman" w:hAnsi="Calibri" w:cs="Calibri"/>
                <w:sz w:val="22"/>
                <w:szCs w:val="22"/>
                <w:lang w:val="en-AU" w:eastAsia="en-AU"/>
              </w:rPr>
              <w:t>)</w:t>
            </w:r>
          </w:p>
        </w:tc>
      </w:tr>
      <w:tr w:rsidR="0024609D" w14:paraId="425235C3" w14:textId="77777777" w:rsidTr="004071E1">
        <w:trPr>
          <w:trHeight w:hRule="exact" w:val="284"/>
        </w:trPr>
        <w:tc>
          <w:tcPr>
            <w:tcW w:w="1538" w:type="dxa"/>
            <w:tcBorders>
              <w:top w:val="single" w:sz="4" w:space="0" w:color="BFBFBF" w:themeColor="background1" w:themeShade="BF"/>
            </w:tcBorders>
            <w:vAlign w:val="bottom"/>
          </w:tcPr>
          <w:p w14:paraId="4F78A874"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A</w:t>
            </w:r>
          </w:p>
        </w:tc>
        <w:tc>
          <w:tcPr>
            <w:tcW w:w="1556" w:type="dxa"/>
            <w:tcBorders>
              <w:top w:val="single" w:sz="4" w:space="0" w:color="BFBFBF" w:themeColor="background1" w:themeShade="BF"/>
            </w:tcBorders>
            <w:shd w:val="clear" w:color="auto" w:fill="FFC000"/>
            <w:vAlign w:val="bottom"/>
          </w:tcPr>
          <w:p w14:paraId="62E33AC3"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2.0%</w:t>
            </w:r>
          </w:p>
        </w:tc>
      </w:tr>
      <w:tr w:rsidR="0024609D" w14:paraId="21D1513B" w14:textId="77777777" w:rsidTr="004071E1">
        <w:trPr>
          <w:trHeight w:hRule="exact" w:val="284"/>
        </w:trPr>
        <w:tc>
          <w:tcPr>
            <w:tcW w:w="1538" w:type="dxa"/>
            <w:vAlign w:val="bottom"/>
          </w:tcPr>
          <w:p w14:paraId="66E55B65"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B</w:t>
            </w:r>
          </w:p>
        </w:tc>
        <w:tc>
          <w:tcPr>
            <w:tcW w:w="1556" w:type="dxa"/>
            <w:shd w:val="clear" w:color="auto" w:fill="FFC000"/>
            <w:vAlign w:val="bottom"/>
          </w:tcPr>
          <w:p w14:paraId="07F01E91"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3887209B" w14:textId="77777777" w:rsidTr="004071E1">
        <w:trPr>
          <w:trHeight w:hRule="exact" w:val="284"/>
        </w:trPr>
        <w:tc>
          <w:tcPr>
            <w:tcW w:w="1538" w:type="dxa"/>
            <w:vAlign w:val="bottom"/>
          </w:tcPr>
          <w:p w14:paraId="762612E1"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C</w:t>
            </w:r>
          </w:p>
        </w:tc>
        <w:tc>
          <w:tcPr>
            <w:tcW w:w="1556" w:type="dxa"/>
            <w:shd w:val="clear" w:color="auto" w:fill="FFC000"/>
            <w:vAlign w:val="bottom"/>
          </w:tcPr>
          <w:p w14:paraId="2DAF48C3"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3.4%</w:t>
            </w:r>
          </w:p>
        </w:tc>
      </w:tr>
      <w:tr w:rsidR="0024609D" w14:paraId="20564A70" w14:textId="77777777" w:rsidTr="004071E1">
        <w:trPr>
          <w:trHeight w:hRule="exact" w:val="284"/>
        </w:trPr>
        <w:tc>
          <w:tcPr>
            <w:tcW w:w="1538" w:type="dxa"/>
            <w:vAlign w:val="bottom"/>
          </w:tcPr>
          <w:p w14:paraId="32FAA3E4"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D</w:t>
            </w:r>
          </w:p>
        </w:tc>
        <w:tc>
          <w:tcPr>
            <w:tcW w:w="1556" w:type="dxa"/>
            <w:shd w:val="clear" w:color="auto" w:fill="FFC000"/>
            <w:vAlign w:val="bottom"/>
          </w:tcPr>
          <w:p w14:paraId="546E238A"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8.8%</w:t>
            </w:r>
          </w:p>
        </w:tc>
      </w:tr>
      <w:tr w:rsidR="0024609D" w14:paraId="64E5ED7C" w14:textId="77777777" w:rsidTr="004071E1">
        <w:trPr>
          <w:trHeight w:hRule="exact" w:val="284"/>
        </w:trPr>
        <w:tc>
          <w:tcPr>
            <w:tcW w:w="1538" w:type="dxa"/>
            <w:vAlign w:val="bottom"/>
          </w:tcPr>
          <w:p w14:paraId="29727458"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0.5</w:t>
            </w:r>
          </w:p>
        </w:tc>
        <w:tc>
          <w:tcPr>
            <w:tcW w:w="1556" w:type="dxa"/>
            <w:shd w:val="clear" w:color="auto" w:fill="FFC000"/>
            <w:vAlign w:val="bottom"/>
          </w:tcPr>
          <w:p w14:paraId="26E61CA7"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1.4%</w:t>
            </w:r>
          </w:p>
        </w:tc>
      </w:tr>
      <w:tr w:rsidR="0024609D" w14:paraId="1A2D5632" w14:textId="77777777" w:rsidTr="004071E1">
        <w:trPr>
          <w:trHeight w:hRule="exact" w:val="284"/>
        </w:trPr>
        <w:tc>
          <w:tcPr>
            <w:tcW w:w="1538" w:type="dxa"/>
            <w:vAlign w:val="bottom"/>
          </w:tcPr>
          <w:p w14:paraId="63D49E70"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F to F.5</w:t>
            </w:r>
          </w:p>
        </w:tc>
        <w:tc>
          <w:tcPr>
            <w:tcW w:w="1556" w:type="dxa"/>
            <w:shd w:val="clear" w:color="auto" w:fill="FFC000"/>
            <w:vAlign w:val="bottom"/>
          </w:tcPr>
          <w:p w14:paraId="6ECF1A35"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22.4%</w:t>
            </w:r>
          </w:p>
        </w:tc>
      </w:tr>
      <w:tr w:rsidR="0024609D" w14:paraId="58FBF4C7" w14:textId="77777777" w:rsidTr="004071E1">
        <w:trPr>
          <w:trHeight w:hRule="exact" w:val="284"/>
        </w:trPr>
        <w:tc>
          <w:tcPr>
            <w:tcW w:w="1538" w:type="dxa"/>
            <w:vAlign w:val="bottom"/>
          </w:tcPr>
          <w:p w14:paraId="58508837"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1 to 1.5</w:t>
            </w:r>
          </w:p>
        </w:tc>
        <w:tc>
          <w:tcPr>
            <w:tcW w:w="1556" w:type="dxa"/>
            <w:shd w:val="clear" w:color="auto" w:fill="FFC000"/>
            <w:vAlign w:val="bottom"/>
          </w:tcPr>
          <w:p w14:paraId="24868DD5"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15.6%</w:t>
            </w:r>
          </w:p>
        </w:tc>
      </w:tr>
      <w:tr w:rsidR="0024609D" w14:paraId="7A4D7924" w14:textId="77777777" w:rsidTr="004071E1">
        <w:trPr>
          <w:trHeight w:hRule="exact" w:val="284"/>
        </w:trPr>
        <w:tc>
          <w:tcPr>
            <w:tcW w:w="1538" w:type="dxa"/>
            <w:vAlign w:val="bottom"/>
          </w:tcPr>
          <w:p w14:paraId="54EA4C4F"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2 to 2.5</w:t>
            </w:r>
          </w:p>
        </w:tc>
        <w:tc>
          <w:tcPr>
            <w:tcW w:w="1556" w:type="dxa"/>
            <w:shd w:val="clear" w:color="auto" w:fill="FFC000"/>
            <w:vAlign w:val="bottom"/>
          </w:tcPr>
          <w:p w14:paraId="3B7E609F"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19.0%</w:t>
            </w:r>
          </w:p>
        </w:tc>
      </w:tr>
      <w:tr w:rsidR="0024609D" w14:paraId="39E0A820" w14:textId="77777777" w:rsidTr="004071E1">
        <w:trPr>
          <w:trHeight w:hRule="exact" w:val="284"/>
        </w:trPr>
        <w:tc>
          <w:tcPr>
            <w:tcW w:w="1538" w:type="dxa"/>
            <w:vAlign w:val="bottom"/>
          </w:tcPr>
          <w:p w14:paraId="092D61ED"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3 to 3.5</w:t>
            </w:r>
          </w:p>
        </w:tc>
        <w:tc>
          <w:tcPr>
            <w:tcW w:w="1556" w:type="dxa"/>
            <w:shd w:val="clear" w:color="auto" w:fill="FFC000"/>
            <w:vAlign w:val="bottom"/>
          </w:tcPr>
          <w:p w14:paraId="2D1280B7"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17.0%</w:t>
            </w:r>
          </w:p>
        </w:tc>
      </w:tr>
      <w:tr w:rsidR="0024609D" w14:paraId="2EF4E9A3" w14:textId="77777777" w:rsidTr="004071E1">
        <w:trPr>
          <w:trHeight w:hRule="exact" w:val="284"/>
        </w:trPr>
        <w:tc>
          <w:tcPr>
            <w:tcW w:w="1538" w:type="dxa"/>
            <w:vAlign w:val="bottom"/>
          </w:tcPr>
          <w:p w14:paraId="7A9E9D93"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4 to 4.5</w:t>
            </w:r>
          </w:p>
        </w:tc>
        <w:tc>
          <w:tcPr>
            <w:tcW w:w="1556" w:type="dxa"/>
            <w:shd w:val="clear" w:color="auto" w:fill="FFC000"/>
            <w:vAlign w:val="bottom"/>
          </w:tcPr>
          <w:p w14:paraId="32101B52"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10.2%</w:t>
            </w:r>
          </w:p>
        </w:tc>
      </w:tr>
      <w:tr w:rsidR="0024609D" w14:paraId="1971286A" w14:textId="77777777" w:rsidTr="004071E1">
        <w:trPr>
          <w:trHeight w:hRule="exact" w:val="284"/>
        </w:trPr>
        <w:tc>
          <w:tcPr>
            <w:tcW w:w="1538" w:type="dxa"/>
            <w:vAlign w:val="bottom"/>
          </w:tcPr>
          <w:p w14:paraId="04B3EBAF"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5 to 5.5</w:t>
            </w:r>
          </w:p>
        </w:tc>
        <w:tc>
          <w:tcPr>
            <w:tcW w:w="1556" w:type="dxa"/>
            <w:shd w:val="clear" w:color="auto" w:fill="FFC000"/>
            <w:vAlign w:val="bottom"/>
          </w:tcPr>
          <w:p w14:paraId="05654769"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6ECC776E" w14:textId="77777777" w:rsidTr="004071E1">
        <w:trPr>
          <w:trHeight w:hRule="exact" w:val="284"/>
        </w:trPr>
        <w:tc>
          <w:tcPr>
            <w:tcW w:w="1538" w:type="dxa"/>
            <w:vAlign w:val="bottom"/>
          </w:tcPr>
          <w:p w14:paraId="252836DD"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6 to 6.5</w:t>
            </w:r>
          </w:p>
        </w:tc>
        <w:tc>
          <w:tcPr>
            <w:tcW w:w="1556" w:type="dxa"/>
            <w:shd w:val="clear" w:color="auto" w:fill="FFC000"/>
            <w:vAlign w:val="bottom"/>
          </w:tcPr>
          <w:p w14:paraId="12CD7349"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7B6B8C3D" w14:textId="77777777" w:rsidTr="004071E1">
        <w:trPr>
          <w:trHeight w:hRule="exact" w:val="284"/>
        </w:trPr>
        <w:tc>
          <w:tcPr>
            <w:tcW w:w="1538" w:type="dxa"/>
            <w:vAlign w:val="bottom"/>
          </w:tcPr>
          <w:p w14:paraId="350EB4D7"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7 to 7.5</w:t>
            </w:r>
          </w:p>
        </w:tc>
        <w:tc>
          <w:tcPr>
            <w:tcW w:w="1556" w:type="dxa"/>
            <w:shd w:val="clear" w:color="auto" w:fill="FFC000"/>
            <w:vAlign w:val="bottom"/>
          </w:tcPr>
          <w:p w14:paraId="103C7BF1"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2EAB24A9" w14:textId="77777777" w:rsidTr="004071E1">
        <w:trPr>
          <w:trHeight w:hRule="exact" w:val="284"/>
        </w:trPr>
        <w:tc>
          <w:tcPr>
            <w:tcW w:w="1538" w:type="dxa"/>
            <w:vAlign w:val="bottom"/>
          </w:tcPr>
          <w:p w14:paraId="67EFE922"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8 to 8.5</w:t>
            </w:r>
          </w:p>
        </w:tc>
        <w:tc>
          <w:tcPr>
            <w:tcW w:w="1556" w:type="dxa"/>
            <w:shd w:val="clear" w:color="auto" w:fill="FFC000"/>
            <w:vAlign w:val="bottom"/>
          </w:tcPr>
          <w:p w14:paraId="79CFA99F"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0DD269A1" w14:textId="77777777" w:rsidTr="004071E1">
        <w:trPr>
          <w:trHeight w:hRule="exact" w:val="284"/>
        </w:trPr>
        <w:tc>
          <w:tcPr>
            <w:tcW w:w="1538" w:type="dxa"/>
            <w:vAlign w:val="bottom"/>
          </w:tcPr>
          <w:p w14:paraId="76AA3072"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9 to 9.5</w:t>
            </w:r>
          </w:p>
        </w:tc>
        <w:tc>
          <w:tcPr>
            <w:tcW w:w="1556" w:type="dxa"/>
            <w:shd w:val="clear" w:color="auto" w:fill="FFC000"/>
            <w:vAlign w:val="bottom"/>
          </w:tcPr>
          <w:p w14:paraId="7A11896F"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6F0EE8CD" w14:textId="77777777" w:rsidTr="004071E1">
        <w:trPr>
          <w:trHeight w:hRule="exact" w:val="284"/>
        </w:trPr>
        <w:tc>
          <w:tcPr>
            <w:tcW w:w="1538" w:type="dxa"/>
            <w:vAlign w:val="bottom"/>
          </w:tcPr>
          <w:p w14:paraId="5C2AF42B"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10 to 10.5</w:t>
            </w:r>
          </w:p>
        </w:tc>
        <w:tc>
          <w:tcPr>
            <w:tcW w:w="1556" w:type="dxa"/>
            <w:shd w:val="clear" w:color="auto" w:fill="FFC000"/>
            <w:vAlign w:val="bottom"/>
          </w:tcPr>
          <w:p w14:paraId="76E5F5AD"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0394656D" w14:textId="77777777" w:rsidTr="004071E1">
        <w:trPr>
          <w:trHeight w:hRule="exact" w:val="284"/>
        </w:trPr>
        <w:tc>
          <w:tcPr>
            <w:tcW w:w="1538" w:type="dxa"/>
            <w:vAlign w:val="bottom"/>
          </w:tcPr>
          <w:p w14:paraId="2A060386"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11 to 11.5</w:t>
            </w:r>
          </w:p>
        </w:tc>
        <w:tc>
          <w:tcPr>
            <w:tcW w:w="1556" w:type="dxa"/>
            <w:shd w:val="clear" w:color="auto" w:fill="FFC000"/>
            <w:vAlign w:val="bottom"/>
          </w:tcPr>
          <w:p w14:paraId="43C1F9AE"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r w:rsidR="0024609D" w14:paraId="55CE6721" w14:textId="77777777" w:rsidTr="004071E1">
        <w:trPr>
          <w:trHeight w:hRule="exact" w:val="284"/>
        </w:trPr>
        <w:tc>
          <w:tcPr>
            <w:tcW w:w="1538" w:type="dxa"/>
            <w:tcBorders>
              <w:bottom w:val="single" w:sz="4" w:space="0" w:color="BFBFBF" w:themeColor="background1" w:themeShade="BF"/>
            </w:tcBorders>
            <w:vAlign w:val="bottom"/>
          </w:tcPr>
          <w:p w14:paraId="6F03B893" w14:textId="77777777" w:rsidR="00765A56" w:rsidRPr="00875122" w:rsidRDefault="00197531" w:rsidP="004071E1">
            <w:pPr>
              <w:spacing w:after="0" w:line="240" w:lineRule="auto"/>
              <w:rPr>
                <w:rFonts w:ascii="Calibri" w:eastAsia="Times New Roman" w:hAnsi="Calibri" w:cs="Calibri"/>
                <w:sz w:val="22"/>
                <w:szCs w:val="22"/>
                <w:lang w:val="en-AU" w:eastAsia="en-AU"/>
              </w:rPr>
            </w:pPr>
            <w:r w:rsidRPr="00A106C2">
              <w:rPr>
                <w:rFonts w:ascii="Calibri" w:eastAsia="Times New Roman" w:hAnsi="Calibri" w:cs="Calibri"/>
                <w:color w:val="000000"/>
                <w:sz w:val="22"/>
                <w:szCs w:val="22"/>
                <w:lang w:val="en-AU" w:eastAsia="en-AU"/>
              </w:rPr>
              <w:t>NA</w:t>
            </w:r>
          </w:p>
        </w:tc>
        <w:tc>
          <w:tcPr>
            <w:tcW w:w="1556" w:type="dxa"/>
            <w:tcBorders>
              <w:bottom w:val="single" w:sz="4" w:space="0" w:color="BFBFBF" w:themeColor="background1" w:themeShade="BF"/>
            </w:tcBorders>
            <w:shd w:val="clear" w:color="auto" w:fill="FFC000"/>
            <w:vAlign w:val="bottom"/>
          </w:tcPr>
          <w:p w14:paraId="7CCCBF28" w14:textId="77777777" w:rsidR="00765A56" w:rsidRPr="00875122" w:rsidRDefault="00197531" w:rsidP="004071E1">
            <w:pPr>
              <w:spacing w:after="0" w:line="240" w:lineRule="auto"/>
              <w:ind w:left="148"/>
              <w:rPr>
                <w:rFonts w:ascii="Calibri" w:eastAsia="Times New Roman" w:hAnsi="Calibri" w:cs="Calibri"/>
                <w:sz w:val="22"/>
                <w:szCs w:val="22"/>
                <w:lang w:val="en-AU" w:eastAsia="en-AU"/>
              </w:rPr>
            </w:pPr>
            <w:r>
              <w:rPr>
                <w:rFonts w:ascii="Calibri" w:eastAsia="Times New Roman" w:hAnsi="Calibri" w:cs="Calibri"/>
                <w:color w:val="000000"/>
                <w:sz w:val="22"/>
                <w:szCs w:val="22"/>
                <w:lang w:val="en-AU" w:eastAsia="en-AU"/>
              </w:rPr>
              <w:t>NDA</w:t>
            </w:r>
          </w:p>
        </w:tc>
      </w:tr>
    </w:tbl>
    <w:p w14:paraId="6A5731BB" w14:textId="77777777" w:rsidR="00994914" w:rsidRDefault="00197531">
      <w:pPr>
        <w:spacing w:after="0" w:line="240" w:lineRule="auto"/>
      </w:pPr>
      <w:r>
        <w:br w:type="page"/>
      </w:r>
    </w:p>
    <w:p w14:paraId="2E1BBD7C" w14:textId="77777777" w:rsidR="009E6D61" w:rsidRDefault="00197531" w:rsidP="00B637FF">
      <w:pPr>
        <w:pStyle w:val="Style10"/>
      </w:pPr>
      <w:r>
        <w:lastRenderedPageBreak/>
        <w:t>ENGAGEMENT</w:t>
      </w:r>
    </w:p>
    <w:p w14:paraId="7940FCC2" w14:textId="77777777" w:rsidR="009E6D61" w:rsidRDefault="00197531" w:rsidP="002801F1">
      <w:pPr>
        <w:pStyle w:val="ESHeading30"/>
        <w:spacing w:before="360"/>
      </w:pPr>
      <w:r>
        <w:t>Average Number of Student Absence Days</w:t>
      </w:r>
    </w:p>
    <w:p w14:paraId="4D2D9FF4" w14:textId="77777777" w:rsidR="001016C0" w:rsidRDefault="00197531" w:rsidP="002801F1">
      <w:pPr>
        <w:pStyle w:val="ESBodyText0"/>
        <w:spacing w:after="240"/>
      </w:pPr>
      <w:r>
        <w:t xml:space="preserve">Absence from school can impact on students’ learning. Common reasons for non-attendance include illness and extended family holidays. </w:t>
      </w:r>
      <w:r w:rsidRPr="00DC3FA2">
        <w:t xml:space="preserve">Absence data </w:t>
      </w:r>
      <w:r>
        <w:t xml:space="preserve">in 2020 and 2021 </w:t>
      </w:r>
      <w:r w:rsidRPr="00DC3FA2">
        <w:t xml:space="preserve">may have been influenced by </w:t>
      </w:r>
      <w:r>
        <w:t>COVID-19.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05"/>
        <w:gridCol w:w="1106"/>
        <w:gridCol w:w="1105"/>
        <w:gridCol w:w="1106"/>
        <w:gridCol w:w="1106"/>
      </w:tblGrid>
      <w:tr w:rsidR="0024609D" w14:paraId="73B33F3D" w14:textId="77777777" w:rsidTr="00875122">
        <w:trPr>
          <w:trHeight w:hRule="exact" w:val="510"/>
        </w:trPr>
        <w:tc>
          <w:tcPr>
            <w:tcW w:w="3539" w:type="dxa"/>
            <w:noWrap/>
            <w:vAlign w:val="center"/>
          </w:tcPr>
          <w:p w14:paraId="6A5E28AF" w14:textId="77777777" w:rsidR="00786F79" w:rsidRPr="00FD6A2F" w:rsidRDefault="00197531" w:rsidP="00786F79">
            <w:pPr>
              <w:spacing w:after="0" w:line="240" w:lineRule="auto"/>
              <w:rPr>
                <w:b/>
                <w:bCs/>
              </w:rPr>
            </w:pPr>
            <w:r w:rsidRPr="00FD6A2F">
              <w:rPr>
                <w:b/>
                <w:bCs/>
              </w:rPr>
              <w:t xml:space="preserve">Student </w:t>
            </w:r>
            <w:r w:rsidRPr="00FD6A2F">
              <w:rPr>
                <w:rFonts w:eastAsia="Times New Roman"/>
                <w:b/>
                <w:bCs/>
                <w:color w:val="000000"/>
                <w:lang w:val="en-AU" w:eastAsia="en-AU"/>
              </w:rPr>
              <w:t>Absence</w:t>
            </w:r>
          </w:p>
        </w:tc>
        <w:tc>
          <w:tcPr>
            <w:tcW w:w="1105" w:type="dxa"/>
            <w:noWrap/>
            <w:vAlign w:val="center"/>
          </w:tcPr>
          <w:p w14:paraId="394BA1A2" w14:textId="77777777" w:rsidR="00786F79" w:rsidRPr="00786F79" w:rsidRDefault="00197531"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201</w:t>
            </w:r>
            <w:r>
              <w:rPr>
                <w:rFonts w:eastAsia="Times New Roman"/>
                <w:color w:val="000000"/>
                <w:lang w:val="en-AU" w:eastAsia="en-AU"/>
              </w:rPr>
              <w:t>8</w:t>
            </w:r>
          </w:p>
        </w:tc>
        <w:tc>
          <w:tcPr>
            <w:tcW w:w="1106" w:type="dxa"/>
            <w:noWrap/>
            <w:vAlign w:val="center"/>
          </w:tcPr>
          <w:p w14:paraId="25849873" w14:textId="77777777" w:rsidR="00786F79" w:rsidRPr="00786F79" w:rsidRDefault="00197531"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201</w:t>
            </w:r>
            <w:r>
              <w:rPr>
                <w:rFonts w:eastAsia="Times New Roman"/>
                <w:color w:val="000000"/>
                <w:lang w:val="en-AU" w:eastAsia="en-AU"/>
              </w:rPr>
              <w:t>9</w:t>
            </w:r>
          </w:p>
        </w:tc>
        <w:tc>
          <w:tcPr>
            <w:tcW w:w="1105" w:type="dxa"/>
            <w:noWrap/>
            <w:vAlign w:val="center"/>
          </w:tcPr>
          <w:p w14:paraId="6AD92A06" w14:textId="77777777" w:rsidR="00786F79" w:rsidRPr="00786F79" w:rsidRDefault="00197531"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w:t>
            </w:r>
            <w:r>
              <w:rPr>
                <w:rFonts w:eastAsia="Times New Roman"/>
                <w:color w:val="000000"/>
                <w:lang w:val="en-AU" w:eastAsia="en-AU"/>
              </w:rPr>
              <w:t>20</w:t>
            </w:r>
          </w:p>
        </w:tc>
        <w:tc>
          <w:tcPr>
            <w:tcW w:w="1106" w:type="dxa"/>
            <w:noWrap/>
            <w:vAlign w:val="center"/>
          </w:tcPr>
          <w:p w14:paraId="282E1580" w14:textId="77777777" w:rsidR="00786F79" w:rsidRPr="00786F79" w:rsidRDefault="00197531"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202</w:t>
            </w:r>
            <w:r>
              <w:rPr>
                <w:rFonts w:eastAsia="Times New Roman"/>
                <w:color w:val="000000"/>
                <w:lang w:val="en-AU" w:eastAsia="en-AU"/>
              </w:rPr>
              <w:t>1</w:t>
            </w:r>
          </w:p>
        </w:tc>
        <w:tc>
          <w:tcPr>
            <w:tcW w:w="1106" w:type="dxa"/>
            <w:noWrap/>
            <w:vAlign w:val="center"/>
          </w:tcPr>
          <w:p w14:paraId="0AFBA9F1" w14:textId="77777777" w:rsidR="00786F79" w:rsidRPr="00786F79" w:rsidRDefault="00197531" w:rsidP="00786F79">
            <w:pPr>
              <w:spacing w:after="0" w:line="240" w:lineRule="auto"/>
              <w:jc w:val="center"/>
              <w:rPr>
                <w:rFonts w:eastAsia="Times New Roman"/>
                <w:color w:val="000000"/>
                <w:lang w:val="en-AU" w:eastAsia="en-AU"/>
              </w:rPr>
            </w:pPr>
            <w:r w:rsidRPr="00786F79">
              <w:rPr>
                <w:rFonts w:eastAsia="Times New Roman"/>
                <w:color w:val="000000"/>
                <w:lang w:val="en-AU" w:eastAsia="en-AU"/>
              </w:rPr>
              <w:t>4-year average</w:t>
            </w:r>
          </w:p>
        </w:tc>
      </w:tr>
      <w:tr w:rsidR="0024609D" w14:paraId="20BE1D6E" w14:textId="77777777" w:rsidTr="00FD6A2F">
        <w:trPr>
          <w:trHeight w:hRule="exact" w:val="680"/>
        </w:trPr>
        <w:tc>
          <w:tcPr>
            <w:tcW w:w="3539" w:type="dxa"/>
            <w:noWrap/>
            <w:vAlign w:val="center"/>
          </w:tcPr>
          <w:p w14:paraId="3E8E0C4F" w14:textId="77777777" w:rsidR="00786F79" w:rsidRDefault="00197531" w:rsidP="00786F79">
            <w:pPr>
              <w:spacing w:after="0" w:line="240" w:lineRule="auto"/>
            </w:pPr>
            <w:r w:rsidRPr="006F0563">
              <w:rPr>
                <w:rFonts w:eastAsia="Times New Roman"/>
                <w:color w:val="000000"/>
                <w:lang w:val="en-AU" w:eastAsia="en-AU"/>
              </w:rPr>
              <w:t>School average number of absence days:</w:t>
            </w:r>
          </w:p>
        </w:tc>
        <w:tc>
          <w:tcPr>
            <w:tcW w:w="1105" w:type="dxa"/>
            <w:shd w:val="clear" w:color="auto" w:fill="FFC000"/>
            <w:noWrap/>
            <w:vAlign w:val="center"/>
          </w:tcPr>
          <w:p w14:paraId="6A7B03FF" w14:textId="77777777" w:rsidR="00786F79" w:rsidRPr="00786F79" w:rsidRDefault="00197531" w:rsidP="00786F79">
            <w:pPr>
              <w:spacing w:after="0" w:line="240" w:lineRule="auto"/>
              <w:jc w:val="center"/>
              <w:rPr>
                <w:rFonts w:eastAsia="Times New Roman"/>
                <w:color w:val="000000"/>
                <w:lang w:val="en-AU" w:eastAsia="en-AU"/>
              </w:rPr>
            </w:pPr>
            <w:r>
              <w:rPr>
                <w:rFonts w:eastAsia="Times New Roman"/>
                <w:color w:val="000000"/>
                <w:lang w:val="en-AU" w:eastAsia="en-AU"/>
              </w:rPr>
              <w:t>16.2</w:t>
            </w:r>
          </w:p>
        </w:tc>
        <w:tc>
          <w:tcPr>
            <w:tcW w:w="1106" w:type="dxa"/>
            <w:shd w:val="clear" w:color="auto" w:fill="FFC000"/>
            <w:noWrap/>
            <w:vAlign w:val="center"/>
          </w:tcPr>
          <w:p w14:paraId="0C552A8D" w14:textId="77777777" w:rsidR="00786F79" w:rsidRPr="00786F79" w:rsidRDefault="00197531" w:rsidP="00786F79">
            <w:pPr>
              <w:spacing w:after="0" w:line="240" w:lineRule="auto"/>
              <w:jc w:val="center"/>
              <w:rPr>
                <w:rFonts w:eastAsia="Times New Roman"/>
                <w:color w:val="000000"/>
                <w:lang w:val="en-AU" w:eastAsia="en-AU"/>
              </w:rPr>
            </w:pPr>
            <w:r>
              <w:rPr>
                <w:rFonts w:eastAsia="Times New Roman"/>
                <w:color w:val="000000"/>
                <w:lang w:val="en-AU" w:eastAsia="en-AU"/>
              </w:rPr>
              <w:t>17.9</w:t>
            </w:r>
          </w:p>
        </w:tc>
        <w:tc>
          <w:tcPr>
            <w:tcW w:w="1105" w:type="dxa"/>
            <w:shd w:val="clear" w:color="auto" w:fill="FFC000"/>
            <w:noWrap/>
            <w:vAlign w:val="center"/>
          </w:tcPr>
          <w:p w14:paraId="3A4E1FB1" w14:textId="77777777" w:rsidR="00786F79" w:rsidRPr="00786F79" w:rsidRDefault="00197531" w:rsidP="00786F79">
            <w:pPr>
              <w:spacing w:after="0" w:line="240" w:lineRule="auto"/>
              <w:jc w:val="center"/>
              <w:rPr>
                <w:rFonts w:eastAsia="Times New Roman"/>
                <w:color w:val="000000"/>
                <w:lang w:val="en-AU" w:eastAsia="en-AU"/>
              </w:rPr>
            </w:pPr>
            <w:r>
              <w:rPr>
                <w:rFonts w:eastAsia="Times New Roman"/>
                <w:color w:val="000000"/>
                <w:lang w:val="en-AU" w:eastAsia="en-AU"/>
              </w:rPr>
              <w:t>22.4</w:t>
            </w:r>
          </w:p>
        </w:tc>
        <w:tc>
          <w:tcPr>
            <w:tcW w:w="1106" w:type="dxa"/>
            <w:shd w:val="clear" w:color="auto" w:fill="FFC000"/>
            <w:noWrap/>
            <w:vAlign w:val="center"/>
          </w:tcPr>
          <w:p w14:paraId="6222932E" w14:textId="77777777" w:rsidR="00786F79" w:rsidRPr="00786F79" w:rsidRDefault="00197531" w:rsidP="00786F79">
            <w:pPr>
              <w:spacing w:after="0" w:line="240" w:lineRule="auto"/>
              <w:jc w:val="center"/>
              <w:rPr>
                <w:rFonts w:eastAsia="Times New Roman"/>
                <w:color w:val="000000"/>
                <w:lang w:val="en-AU" w:eastAsia="en-AU"/>
              </w:rPr>
            </w:pPr>
            <w:r>
              <w:rPr>
                <w:rFonts w:eastAsia="Times New Roman"/>
                <w:color w:val="000000"/>
                <w:lang w:val="en-AU" w:eastAsia="en-AU"/>
              </w:rPr>
              <w:t>21.2</w:t>
            </w:r>
          </w:p>
        </w:tc>
        <w:tc>
          <w:tcPr>
            <w:tcW w:w="1106" w:type="dxa"/>
            <w:shd w:val="clear" w:color="auto" w:fill="FFC000"/>
            <w:noWrap/>
            <w:vAlign w:val="center"/>
          </w:tcPr>
          <w:p w14:paraId="6375294B" w14:textId="77777777" w:rsidR="00786F79" w:rsidRPr="00786F79" w:rsidRDefault="00197531" w:rsidP="00786F79">
            <w:pPr>
              <w:spacing w:after="0" w:line="240" w:lineRule="auto"/>
              <w:jc w:val="center"/>
              <w:rPr>
                <w:rFonts w:eastAsia="Times New Roman"/>
                <w:color w:val="000000"/>
                <w:lang w:val="en-AU" w:eastAsia="en-AU"/>
              </w:rPr>
            </w:pPr>
            <w:r>
              <w:rPr>
                <w:rFonts w:eastAsia="Times New Roman"/>
                <w:color w:val="000000"/>
                <w:lang w:val="en-AU" w:eastAsia="en-AU"/>
              </w:rPr>
              <w:t>19.5</w:t>
            </w:r>
          </w:p>
        </w:tc>
      </w:tr>
    </w:tbl>
    <w:p w14:paraId="387BD01D" w14:textId="77777777" w:rsidR="00786F79" w:rsidRDefault="003E51D2" w:rsidP="002801F1">
      <w:pPr>
        <w:pStyle w:val="ESBodyText0"/>
        <w:spacing w:after="240"/>
      </w:pPr>
    </w:p>
    <w:p w14:paraId="00EBC97F" w14:textId="77777777" w:rsidR="00FD6A2F" w:rsidRDefault="003E51D2" w:rsidP="002801F1">
      <w:pPr>
        <w:pStyle w:val="ESBodyText0"/>
        <w:spacing w:after="240"/>
      </w:pPr>
    </w:p>
    <w:p w14:paraId="709DC242" w14:textId="77777777" w:rsidR="009E6D61" w:rsidRDefault="00197531" w:rsidP="00D4348E">
      <w:pPr>
        <w:pStyle w:val="ESHeading30"/>
      </w:pPr>
      <w:r>
        <w:t>Students exiting to further studies or full-time employment</w:t>
      </w:r>
    </w:p>
    <w:p w14:paraId="6F3255DC" w14:textId="77777777" w:rsidR="000F3D13" w:rsidRDefault="00197531">
      <w:pPr>
        <w:pStyle w:val="ESBodyText0"/>
      </w:pPr>
      <w:r>
        <w:t>Percentage of students going on to further studies or full-time employment.</w:t>
      </w:r>
    </w:p>
    <w:p w14:paraId="7914D646" w14:textId="77777777" w:rsidR="00FE6427" w:rsidRDefault="00197531" w:rsidP="002801F1">
      <w:pPr>
        <w:pStyle w:val="ESBodyText0"/>
        <w:spacing w:after="240"/>
      </w:pPr>
      <w:r>
        <w:t>Note: This measure refers to data from the previous calendar year. Data excludes destinations recorded as 'Unknown'.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05"/>
        <w:gridCol w:w="1106"/>
        <w:gridCol w:w="1105"/>
        <w:gridCol w:w="1106"/>
        <w:gridCol w:w="1106"/>
      </w:tblGrid>
      <w:tr w:rsidR="0024609D" w14:paraId="06CE3505" w14:textId="77777777" w:rsidTr="00875122">
        <w:trPr>
          <w:trHeight w:hRule="exact" w:val="510"/>
        </w:trPr>
        <w:tc>
          <w:tcPr>
            <w:tcW w:w="3539" w:type="dxa"/>
            <w:noWrap/>
            <w:vAlign w:val="center"/>
          </w:tcPr>
          <w:p w14:paraId="2F6D374A" w14:textId="77777777" w:rsidR="00FD6A2F" w:rsidRPr="00FD6A2F" w:rsidRDefault="00197531" w:rsidP="004071E1">
            <w:pPr>
              <w:spacing w:after="0" w:line="240" w:lineRule="auto"/>
              <w:rPr>
                <w:b/>
                <w:bCs/>
              </w:rPr>
            </w:pPr>
            <w:r w:rsidRPr="00FD6A2F">
              <w:rPr>
                <w:b/>
                <w:bCs/>
              </w:rPr>
              <w:t xml:space="preserve">Student </w:t>
            </w:r>
            <w:r>
              <w:rPr>
                <w:b/>
                <w:bCs/>
              </w:rPr>
              <w:t>Exits</w:t>
            </w:r>
          </w:p>
        </w:tc>
        <w:tc>
          <w:tcPr>
            <w:tcW w:w="1105" w:type="dxa"/>
            <w:noWrap/>
            <w:vAlign w:val="center"/>
          </w:tcPr>
          <w:p w14:paraId="0BEECF1A" w14:textId="77777777" w:rsidR="00FD6A2F" w:rsidRPr="00786F79" w:rsidRDefault="00197531"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201</w:t>
            </w:r>
            <w:r>
              <w:rPr>
                <w:rFonts w:eastAsia="Times New Roman"/>
                <w:color w:val="000000"/>
                <w:lang w:val="en-AU" w:eastAsia="en-AU"/>
              </w:rPr>
              <w:t>8</w:t>
            </w:r>
          </w:p>
        </w:tc>
        <w:tc>
          <w:tcPr>
            <w:tcW w:w="1106" w:type="dxa"/>
            <w:noWrap/>
            <w:vAlign w:val="center"/>
          </w:tcPr>
          <w:p w14:paraId="638BDB48" w14:textId="77777777" w:rsidR="00FD6A2F" w:rsidRPr="00786F79" w:rsidRDefault="00197531"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201</w:t>
            </w:r>
            <w:r>
              <w:rPr>
                <w:rFonts w:eastAsia="Times New Roman"/>
                <w:color w:val="000000"/>
                <w:lang w:val="en-AU" w:eastAsia="en-AU"/>
              </w:rPr>
              <w:t>9</w:t>
            </w:r>
          </w:p>
        </w:tc>
        <w:tc>
          <w:tcPr>
            <w:tcW w:w="1105" w:type="dxa"/>
            <w:noWrap/>
            <w:vAlign w:val="center"/>
          </w:tcPr>
          <w:p w14:paraId="076833E6" w14:textId="77777777" w:rsidR="00FD6A2F" w:rsidRPr="00786F79" w:rsidRDefault="00197531"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w:t>
            </w:r>
            <w:r>
              <w:rPr>
                <w:rFonts w:eastAsia="Times New Roman"/>
                <w:color w:val="000000"/>
                <w:lang w:val="en-AU" w:eastAsia="en-AU"/>
              </w:rPr>
              <w:t>20</w:t>
            </w:r>
          </w:p>
        </w:tc>
        <w:tc>
          <w:tcPr>
            <w:tcW w:w="1106" w:type="dxa"/>
            <w:noWrap/>
            <w:vAlign w:val="center"/>
          </w:tcPr>
          <w:p w14:paraId="439BB0C2" w14:textId="77777777" w:rsidR="00FD6A2F" w:rsidRPr="00786F79" w:rsidRDefault="00197531"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202</w:t>
            </w:r>
            <w:r>
              <w:rPr>
                <w:rFonts w:eastAsia="Times New Roman"/>
                <w:color w:val="000000"/>
                <w:lang w:val="en-AU" w:eastAsia="en-AU"/>
              </w:rPr>
              <w:t>1</w:t>
            </w:r>
          </w:p>
        </w:tc>
        <w:tc>
          <w:tcPr>
            <w:tcW w:w="1106" w:type="dxa"/>
            <w:noWrap/>
            <w:vAlign w:val="center"/>
          </w:tcPr>
          <w:p w14:paraId="46D8D0C7" w14:textId="77777777" w:rsidR="00FD6A2F" w:rsidRPr="00786F79" w:rsidRDefault="00197531" w:rsidP="004071E1">
            <w:pPr>
              <w:spacing w:after="0" w:line="240" w:lineRule="auto"/>
              <w:jc w:val="center"/>
              <w:rPr>
                <w:rFonts w:eastAsia="Times New Roman"/>
                <w:color w:val="000000"/>
                <w:lang w:val="en-AU" w:eastAsia="en-AU"/>
              </w:rPr>
            </w:pPr>
            <w:r w:rsidRPr="00786F79">
              <w:rPr>
                <w:rFonts w:eastAsia="Times New Roman"/>
                <w:color w:val="000000"/>
                <w:lang w:val="en-AU" w:eastAsia="en-AU"/>
              </w:rPr>
              <w:t>4-year average</w:t>
            </w:r>
          </w:p>
        </w:tc>
      </w:tr>
      <w:tr w:rsidR="0024609D" w14:paraId="359B4E5F" w14:textId="77777777" w:rsidTr="004071E1">
        <w:trPr>
          <w:trHeight w:hRule="exact" w:val="680"/>
        </w:trPr>
        <w:tc>
          <w:tcPr>
            <w:tcW w:w="3539" w:type="dxa"/>
            <w:noWrap/>
            <w:vAlign w:val="center"/>
          </w:tcPr>
          <w:p w14:paraId="2FD4A250" w14:textId="77777777" w:rsidR="00FD6A2F" w:rsidRDefault="00197531" w:rsidP="004071E1">
            <w:pPr>
              <w:spacing w:after="0" w:line="240" w:lineRule="auto"/>
            </w:pPr>
            <w:r w:rsidRPr="00744FAA">
              <w:rPr>
                <w:rFonts w:eastAsia="Times New Roman"/>
                <w:color w:val="000000"/>
                <w:lang w:val="en-AU" w:eastAsia="en-AU"/>
              </w:rPr>
              <w:t>School percent of students with positive destinations</w:t>
            </w:r>
            <w:r w:rsidRPr="006F0563">
              <w:rPr>
                <w:rFonts w:eastAsia="Times New Roman"/>
                <w:color w:val="000000"/>
                <w:lang w:val="en-AU" w:eastAsia="en-AU"/>
              </w:rPr>
              <w:t>:</w:t>
            </w:r>
          </w:p>
        </w:tc>
        <w:tc>
          <w:tcPr>
            <w:tcW w:w="1105" w:type="dxa"/>
            <w:shd w:val="clear" w:color="auto" w:fill="FFC000"/>
            <w:noWrap/>
            <w:vAlign w:val="center"/>
          </w:tcPr>
          <w:p w14:paraId="0B6391F6" w14:textId="77777777" w:rsidR="00FD6A2F" w:rsidRPr="00786F79" w:rsidRDefault="00197531" w:rsidP="004071E1">
            <w:pPr>
              <w:spacing w:after="0" w:line="240" w:lineRule="auto"/>
              <w:jc w:val="center"/>
              <w:rPr>
                <w:rFonts w:eastAsia="Times New Roman"/>
                <w:color w:val="000000"/>
                <w:lang w:val="en-AU" w:eastAsia="en-AU"/>
              </w:rPr>
            </w:pPr>
            <w:r>
              <w:rPr>
                <w:rFonts w:eastAsia="Times New Roman"/>
                <w:color w:val="000000"/>
                <w:lang w:val="en-AU" w:eastAsia="en-AU"/>
              </w:rPr>
              <w:t>100.0%</w:t>
            </w:r>
          </w:p>
        </w:tc>
        <w:tc>
          <w:tcPr>
            <w:tcW w:w="1106" w:type="dxa"/>
            <w:shd w:val="clear" w:color="auto" w:fill="FFC000"/>
            <w:noWrap/>
            <w:vAlign w:val="center"/>
          </w:tcPr>
          <w:p w14:paraId="05E33501" w14:textId="77777777" w:rsidR="00FD6A2F" w:rsidRPr="00786F79" w:rsidRDefault="00197531" w:rsidP="004071E1">
            <w:pPr>
              <w:spacing w:after="0" w:line="240" w:lineRule="auto"/>
              <w:jc w:val="center"/>
              <w:rPr>
                <w:rFonts w:eastAsia="Times New Roman"/>
                <w:color w:val="000000"/>
                <w:lang w:val="en-AU" w:eastAsia="en-AU"/>
              </w:rPr>
            </w:pPr>
            <w:r>
              <w:rPr>
                <w:rFonts w:eastAsia="Times New Roman"/>
                <w:color w:val="000000"/>
                <w:lang w:val="en-AU" w:eastAsia="en-AU"/>
              </w:rPr>
              <w:t>100.0%</w:t>
            </w:r>
          </w:p>
        </w:tc>
        <w:tc>
          <w:tcPr>
            <w:tcW w:w="1105" w:type="dxa"/>
            <w:shd w:val="clear" w:color="auto" w:fill="FFC000"/>
            <w:noWrap/>
            <w:vAlign w:val="center"/>
          </w:tcPr>
          <w:p w14:paraId="78752866" w14:textId="77777777" w:rsidR="00FD6A2F" w:rsidRPr="00786F79" w:rsidRDefault="00197531" w:rsidP="004071E1">
            <w:pPr>
              <w:spacing w:after="0" w:line="240" w:lineRule="auto"/>
              <w:jc w:val="center"/>
              <w:rPr>
                <w:rFonts w:eastAsia="Times New Roman"/>
                <w:color w:val="000000"/>
                <w:lang w:val="en-AU" w:eastAsia="en-AU"/>
              </w:rPr>
            </w:pPr>
            <w:r>
              <w:rPr>
                <w:rFonts w:eastAsia="Times New Roman"/>
                <w:color w:val="000000"/>
                <w:lang w:val="en-AU" w:eastAsia="en-AU"/>
              </w:rPr>
              <w:t>NDP</w:t>
            </w:r>
          </w:p>
        </w:tc>
        <w:tc>
          <w:tcPr>
            <w:tcW w:w="1106" w:type="dxa"/>
            <w:shd w:val="clear" w:color="auto" w:fill="FFC000"/>
            <w:noWrap/>
            <w:vAlign w:val="center"/>
          </w:tcPr>
          <w:p w14:paraId="419BC45F" w14:textId="77777777" w:rsidR="00FD6A2F" w:rsidRPr="00786F79" w:rsidRDefault="00197531" w:rsidP="004071E1">
            <w:pPr>
              <w:spacing w:after="0" w:line="240" w:lineRule="auto"/>
              <w:jc w:val="center"/>
              <w:rPr>
                <w:rFonts w:eastAsia="Times New Roman"/>
                <w:color w:val="000000"/>
                <w:lang w:val="en-AU" w:eastAsia="en-AU"/>
              </w:rPr>
            </w:pPr>
            <w:r>
              <w:rPr>
                <w:rFonts w:eastAsia="Times New Roman"/>
                <w:color w:val="000000"/>
                <w:lang w:val="en-AU" w:eastAsia="en-AU"/>
              </w:rPr>
              <w:t xml:space="preserve"> 66.7%</w:t>
            </w:r>
          </w:p>
        </w:tc>
        <w:tc>
          <w:tcPr>
            <w:tcW w:w="1106" w:type="dxa"/>
            <w:shd w:val="clear" w:color="auto" w:fill="FFC000"/>
            <w:noWrap/>
            <w:vAlign w:val="center"/>
          </w:tcPr>
          <w:p w14:paraId="0FC938F8" w14:textId="77777777" w:rsidR="00FD6A2F" w:rsidRPr="00786F79" w:rsidRDefault="00197531" w:rsidP="004071E1">
            <w:pPr>
              <w:spacing w:after="0" w:line="240" w:lineRule="auto"/>
              <w:jc w:val="center"/>
              <w:rPr>
                <w:rFonts w:eastAsia="Times New Roman"/>
                <w:color w:val="000000"/>
                <w:lang w:val="en-AU" w:eastAsia="en-AU"/>
              </w:rPr>
            </w:pPr>
            <w:r>
              <w:rPr>
                <w:rFonts w:eastAsia="Times New Roman"/>
                <w:color w:val="000000"/>
                <w:lang w:val="en-AU" w:eastAsia="en-AU"/>
              </w:rPr>
              <w:t xml:space="preserve"> 83.3%</w:t>
            </w:r>
          </w:p>
        </w:tc>
      </w:tr>
    </w:tbl>
    <w:p w14:paraId="221A68E8" w14:textId="77777777" w:rsidR="00FD6A2F" w:rsidRDefault="003E51D2" w:rsidP="00FD6A2F">
      <w:pPr>
        <w:pStyle w:val="ESBodyText0"/>
        <w:spacing w:after="240"/>
      </w:pPr>
    </w:p>
    <w:p w14:paraId="6A375050" w14:textId="77777777" w:rsidR="009E6D61" w:rsidRPr="00161AA7" w:rsidRDefault="00197531" w:rsidP="00D4348E">
      <w:pPr>
        <w:pStyle w:val="ESHeading10"/>
        <w:rPr>
          <w:color w:val="auto"/>
          <w:sz w:val="18"/>
          <w:szCs w:val="18"/>
        </w:rPr>
      </w:pPr>
      <w:r>
        <w:br w:type="page"/>
      </w:r>
    </w:p>
    <w:p w14:paraId="67110A91" w14:textId="77777777" w:rsidR="009E6D61" w:rsidRPr="0003143F" w:rsidRDefault="00197531" w:rsidP="00D4348E">
      <w:pPr>
        <w:pStyle w:val="ESHeading10"/>
        <w:rPr>
          <w:b/>
          <w:bCs w:val="0"/>
          <w:sz w:val="44"/>
          <w:szCs w:val="44"/>
        </w:rPr>
      </w:pPr>
      <w:r w:rsidRPr="0003143F">
        <w:rPr>
          <w:b/>
          <w:bCs w:val="0"/>
          <w:sz w:val="44"/>
          <w:szCs w:val="44"/>
        </w:rPr>
        <w:lastRenderedPageBreak/>
        <w:t>Financial Performance and Position</w:t>
      </w:r>
    </w:p>
    <w:p w14:paraId="13CF4009" w14:textId="77777777" w:rsidR="009E6D61" w:rsidRPr="0003143F" w:rsidRDefault="00197531" w:rsidP="0003143F">
      <w:pPr>
        <w:pStyle w:val="ESHeading2"/>
        <w:spacing w:after="480"/>
        <w:rPr>
          <w:b w:val="0"/>
          <w:bCs w:val="0"/>
          <w:sz w:val="24"/>
          <w:szCs w:val="24"/>
        </w:rPr>
      </w:pPr>
      <w:r w:rsidRPr="0003143F">
        <w:rPr>
          <w:b w:val="0"/>
          <w:bCs w:val="0"/>
          <w:sz w:val="24"/>
          <w:szCs w:val="24"/>
        </w:rPr>
        <w:t xml:space="preserve">Financial Performance - Operating Statement Summary for the year ending 31 December, </w:t>
      </w:r>
      <w:r>
        <w:rPr>
          <w:b w:val="0"/>
          <w:bCs w:val="0"/>
          <w:sz w:val="24"/>
          <w:szCs w:val="24"/>
        </w:rPr>
        <w:t>2021</w:t>
      </w:r>
    </w:p>
    <w:tbl>
      <w:tblPr>
        <w:tblStyle w:val="GridTable2-Accent612"/>
        <w:tblW w:w="2876" w:type="pct"/>
        <w:jc w:val="center"/>
        <w:tblLook w:val="04A0" w:firstRow="1" w:lastRow="0" w:firstColumn="1" w:lastColumn="0" w:noHBand="0" w:noVBand="1"/>
        <w:tblCaption w:val="Finance - Expenditure table"/>
      </w:tblPr>
      <w:tblGrid>
        <w:gridCol w:w="4428"/>
        <w:gridCol w:w="1765"/>
      </w:tblGrid>
      <w:tr w:rsidR="0024609D" w14:paraId="5D7835EE" w14:textId="77777777" w:rsidTr="0024609D">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10D84734" w14:textId="77777777" w:rsidR="009E6D61" w:rsidRDefault="00197531">
            <w:pPr>
              <w:spacing w:before="40" w:after="40" w:line="240" w:lineRule="auto"/>
              <w:rPr>
                <w:rFonts w:cs="Times New Roman"/>
                <w:color w:val="FFFFFF"/>
                <w:szCs w:val="22"/>
              </w:rPr>
            </w:pPr>
            <w:bookmarkStart w:id="1" w:name="Table_2"/>
            <w:r w:rsidRPr="00243D95">
              <w:rPr>
                <w:rFonts w:cs="Times New Roman"/>
                <w:bCs w:val="0"/>
                <w:szCs w:val="22"/>
              </w:rPr>
              <w:t>Revenue</w:t>
            </w:r>
          </w:p>
        </w:tc>
        <w:tc>
          <w:tcPr>
            <w:tcW w:w="1425" w:type="pct"/>
            <w:tcBorders>
              <w:left w:val="single" w:sz="4" w:space="0" w:color="FFFFFF" w:themeColor="background1"/>
              <w:bottom w:val="single" w:sz="4" w:space="0" w:color="FFFFFF" w:themeColor="background1"/>
            </w:tcBorders>
            <w:shd w:val="clear" w:color="auto" w:fill="FFC000"/>
            <w:vAlign w:val="center"/>
            <w:hideMark/>
          </w:tcPr>
          <w:p w14:paraId="543056A1" w14:textId="77777777" w:rsidR="009E6D61" w:rsidRPr="003666F6" w:rsidRDefault="00197531">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24609D" w14:paraId="0939EEC2"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nil"/>
            </w:tcBorders>
            <w:shd w:val="clear" w:color="auto" w:fill="D9D9D9" w:themeFill="background1" w:themeFillShade="D9"/>
            <w:noWrap/>
            <w:vAlign w:val="center"/>
            <w:hideMark/>
          </w:tcPr>
          <w:p w14:paraId="67B9C453" w14:textId="77777777" w:rsidR="00161AA7" w:rsidRDefault="00197531" w:rsidP="00161AA7">
            <w:pPr>
              <w:spacing w:before="40" w:after="40" w:line="240" w:lineRule="auto"/>
              <w:rPr>
                <w:rFonts w:cs="Times New Roman"/>
                <w:szCs w:val="22"/>
              </w:rPr>
            </w:pPr>
            <w:r>
              <w:rPr>
                <w:rFonts w:cs="Times New Roman"/>
                <w:b w:val="0"/>
                <w:szCs w:val="22"/>
              </w:rPr>
              <w:t>Student Resource Package</w:t>
            </w:r>
          </w:p>
        </w:tc>
        <w:tc>
          <w:tcPr>
            <w:tcW w:w="1425" w:type="pct"/>
            <w:tcBorders>
              <w:top w:val="single" w:sz="4" w:space="0" w:color="FFFFFF" w:themeColor="background1"/>
              <w:left w:val="nil"/>
              <w:bottom w:val="nil"/>
            </w:tcBorders>
            <w:shd w:val="clear" w:color="auto" w:fill="D9D9D9" w:themeFill="background1" w:themeFillShade="D9"/>
            <w:noWrap/>
          </w:tcPr>
          <w:p w14:paraId="5CAD8E53"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$2,003,182</w:t>
            </w:r>
          </w:p>
        </w:tc>
      </w:tr>
      <w:tr w:rsidR="0024609D" w14:paraId="4B60C381"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hideMark/>
          </w:tcPr>
          <w:p w14:paraId="0E892B79" w14:textId="77777777" w:rsidR="00161AA7" w:rsidRDefault="00197531" w:rsidP="00161AA7">
            <w:pPr>
              <w:spacing w:before="40" w:after="40" w:line="240" w:lineRule="auto"/>
              <w:rPr>
                <w:rFonts w:cs="Times New Roman"/>
                <w:szCs w:val="22"/>
              </w:rPr>
            </w:pPr>
            <w:r>
              <w:rPr>
                <w:rFonts w:cs="Times New Roman"/>
                <w:b w:val="0"/>
                <w:szCs w:val="22"/>
              </w:rPr>
              <w:t>Government Provided DET Grants</w:t>
            </w:r>
          </w:p>
        </w:tc>
        <w:tc>
          <w:tcPr>
            <w:tcW w:w="1425" w:type="pct"/>
            <w:tcBorders>
              <w:top w:val="nil"/>
              <w:left w:val="nil"/>
              <w:bottom w:val="nil"/>
            </w:tcBorders>
            <w:shd w:val="clear" w:color="auto" w:fill="F2F2F2" w:themeFill="background1" w:themeFillShade="F2"/>
            <w:noWrap/>
          </w:tcPr>
          <w:p w14:paraId="3F556DC4"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$454,941</w:t>
            </w:r>
          </w:p>
        </w:tc>
      </w:tr>
      <w:tr w:rsidR="0024609D" w14:paraId="1666267B"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D9D9D9" w:themeFill="background1" w:themeFillShade="D9"/>
            <w:noWrap/>
            <w:vAlign w:val="center"/>
            <w:hideMark/>
          </w:tcPr>
          <w:p w14:paraId="5A391AC2" w14:textId="77777777" w:rsidR="00161AA7" w:rsidRDefault="00197531" w:rsidP="00161AA7">
            <w:pPr>
              <w:spacing w:before="40" w:after="40" w:line="240" w:lineRule="auto"/>
              <w:rPr>
                <w:rFonts w:cs="Times New Roman"/>
                <w:szCs w:val="22"/>
              </w:rPr>
            </w:pPr>
            <w:r>
              <w:rPr>
                <w:rFonts w:cs="Times New Roman"/>
                <w:b w:val="0"/>
                <w:szCs w:val="22"/>
              </w:rPr>
              <w:t>Government Grants Commonwealth</w:t>
            </w:r>
          </w:p>
        </w:tc>
        <w:tc>
          <w:tcPr>
            <w:tcW w:w="1425" w:type="pct"/>
            <w:tcBorders>
              <w:top w:val="nil"/>
              <w:left w:val="nil"/>
              <w:bottom w:val="nil"/>
            </w:tcBorders>
            <w:shd w:val="clear" w:color="auto" w:fill="D9D9D9" w:themeFill="background1" w:themeFillShade="D9"/>
            <w:noWrap/>
          </w:tcPr>
          <w:p w14:paraId="5BC457B8"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$3,550</w:t>
            </w:r>
          </w:p>
        </w:tc>
      </w:tr>
      <w:tr w:rsidR="0024609D" w14:paraId="50EDDD5B"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hideMark/>
          </w:tcPr>
          <w:p w14:paraId="67DF0117" w14:textId="77777777" w:rsidR="00161AA7" w:rsidRDefault="00197531" w:rsidP="00161AA7">
            <w:pPr>
              <w:spacing w:before="40" w:after="40" w:line="240" w:lineRule="auto"/>
              <w:rPr>
                <w:rFonts w:cs="Times New Roman"/>
                <w:szCs w:val="22"/>
              </w:rPr>
            </w:pPr>
            <w:r>
              <w:rPr>
                <w:rFonts w:cs="Times New Roman"/>
                <w:b w:val="0"/>
                <w:szCs w:val="22"/>
              </w:rPr>
              <w:t>Government Grants State</w:t>
            </w:r>
          </w:p>
        </w:tc>
        <w:tc>
          <w:tcPr>
            <w:tcW w:w="1425" w:type="pct"/>
            <w:tcBorders>
              <w:top w:val="nil"/>
              <w:left w:val="nil"/>
              <w:bottom w:val="nil"/>
            </w:tcBorders>
            <w:shd w:val="clear" w:color="auto" w:fill="F2F2F2" w:themeFill="background1" w:themeFillShade="F2"/>
            <w:noWrap/>
          </w:tcPr>
          <w:p w14:paraId="7139C956"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3C89E1B5"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D9D9D9" w:themeFill="background1" w:themeFillShade="D9"/>
            <w:noWrap/>
            <w:vAlign w:val="center"/>
            <w:hideMark/>
          </w:tcPr>
          <w:p w14:paraId="5051C24D" w14:textId="77777777" w:rsidR="00161AA7" w:rsidRDefault="00197531" w:rsidP="00161AA7">
            <w:pPr>
              <w:spacing w:before="40" w:after="40" w:line="240" w:lineRule="auto"/>
              <w:rPr>
                <w:rFonts w:cs="Times New Roman"/>
                <w:szCs w:val="22"/>
              </w:rPr>
            </w:pPr>
            <w:r>
              <w:rPr>
                <w:rFonts w:cs="Times New Roman"/>
                <w:b w:val="0"/>
                <w:bCs w:val="0"/>
                <w:szCs w:val="22"/>
              </w:rPr>
              <w:t>Revenue Other</w:t>
            </w:r>
          </w:p>
        </w:tc>
        <w:tc>
          <w:tcPr>
            <w:tcW w:w="1425" w:type="pct"/>
            <w:tcBorders>
              <w:top w:val="nil"/>
              <w:left w:val="nil"/>
              <w:bottom w:val="nil"/>
            </w:tcBorders>
            <w:shd w:val="clear" w:color="auto" w:fill="D9D9D9" w:themeFill="background1" w:themeFillShade="D9"/>
            <w:noWrap/>
          </w:tcPr>
          <w:p w14:paraId="6B97E06F"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$4,832</w:t>
            </w:r>
          </w:p>
        </w:tc>
      </w:tr>
      <w:tr w:rsidR="0024609D" w14:paraId="09D2F152"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10A4BF70" w14:textId="77777777" w:rsidR="00161AA7" w:rsidRDefault="00197531" w:rsidP="00161AA7">
            <w:pPr>
              <w:spacing w:before="40" w:after="40" w:line="240" w:lineRule="auto"/>
              <w:rPr>
                <w:rFonts w:cs="Times New Roman"/>
                <w:szCs w:val="22"/>
              </w:rPr>
            </w:pPr>
            <w:r>
              <w:rPr>
                <w:rFonts w:cs="Times New Roman"/>
                <w:b w:val="0"/>
                <w:bCs w:val="0"/>
                <w:szCs w:val="22"/>
              </w:rPr>
              <w:t>Locally Raised Funds</w:t>
            </w:r>
          </w:p>
        </w:tc>
        <w:tc>
          <w:tcPr>
            <w:tcW w:w="1425" w:type="pct"/>
            <w:tcBorders>
              <w:top w:val="nil"/>
              <w:left w:val="nil"/>
              <w:bottom w:val="nil"/>
            </w:tcBorders>
            <w:shd w:val="clear" w:color="auto" w:fill="F2F2F2" w:themeFill="background1" w:themeFillShade="F2"/>
            <w:noWrap/>
          </w:tcPr>
          <w:p w14:paraId="1B50E7A2"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$19,049</w:t>
            </w:r>
          </w:p>
        </w:tc>
      </w:tr>
      <w:tr w:rsidR="0024609D" w14:paraId="4E6376C2"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4" w:space="0" w:color="FFFFFF" w:themeColor="background1"/>
              <w:right w:val="nil"/>
            </w:tcBorders>
            <w:shd w:val="clear" w:color="auto" w:fill="D9D9D9" w:themeFill="background1" w:themeFillShade="D9"/>
            <w:noWrap/>
            <w:vAlign w:val="center"/>
          </w:tcPr>
          <w:p w14:paraId="7C80847E" w14:textId="77777777" w:rsidR="00161AA7" w:rsidRPr="007A1EF3" w:rsidRDefault="00197531" w:rsidP="00161AA7">
            <w:pPr>
              <w:spacing w:before="40" w:after="40" w:line="240" w:lineRule="auto"/>
              <w:rPr>
                <w:rFonts w:cs="Times New Roman"/>
                <w:szCs w:val="22"/>
              </w:rPr>
            </w:pPr>
            <w:r>
              <w:rPr>
                <w:rFonts w:cs="Times New Roman"/>
                <w:b w:val="0"/>
                <w:szCs w:val="22"/>
              </w:rPr>
              <w:t>Capital Grants</w:t>
            </w:r>
          </w:p>
        </w:tc>
        <w:tc>
          <w:tcPr>
            <w:tcW w:w="1425" w:type="pct"/>
            <w:tcBorders>
              <w:top w:val="nil"/>
              <w:left w:val="nil"/>
              <w:bottom w:val="single" w:sz="4" w:space="0" w:color="FFFFFF" w:themeColor="background1"/>
            </w:tcBorders>
            <w:shd w:val="clear" w:color="auto" w:fill="D9D9D9" w:themeFill="background1" w:themeFillShade="D9"/>
            <w:noWrap/>
          </w:tcPr>
          <w:p w14:paraId="6967CE55"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00A8165E"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hideMark/>
          </w:tcPr>
          <w:p w14:paraId="58CFCF2F" w14:textId="77777777" w:rsidR="00161AA7" w:rsidRDefault="00197531" w:rsidP="00161AA7">
            <w:pPr>
              <w:spacing w:before="40" w:after="40" w:line="240" w:lineRule="auto"/>
              <w:rPr>
                <w:rFonts w:cs="Times New Roman"/>
                <w:szCs w:val="22"/>
              </w:rPr>
            </w:pPr>
            <w:r>
              <w:rPr>
                <w:rFonts w:cs="Times New Roman"/>
                <w:szCs w:val="22"/>
              </w:rPr>
              <w:t>Total Operating Revenue</w:t>
            </w:r>
          </w:p>
        </w:tc>
        <w:tc>
          <w:tcPr>
            <w:tcW w:w="1425" w:type="pct"/>
            <w:tcBorders>
              <w:top w:val="single" w:sz="4" w:space="0" w:color="FFFFFF" w:themeColor="background1"/>
              <w:left w:val="single" w:sz="4" w:space="0" w:color="FFFFFF" w:themeColor="background1"/>
              <w:bottom w:val="nil"/>
            </w:tcBorders>
            <w:shd w:val="clear" w:color="auto" w:fill="FFC000"/>
            <w:noWrap/>
          </w:tcPr>
          <w:p w14:paraId="374C2EB1" w14:textId="77777777" w:rsidR="00161AA7" w:rsidRPr="003666F6" w:rsidRDefault="00197531"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$2,485,555</w:t>
            </w:r>
          </w:p>
        </w:tc>
      </w:tr>
      <w:bookmarkEnd w:id="1"/>
    </w:tbl>
    <w:p w14:paraId="4B6ED45D" w14:textId="77777777" w:rsidR="009E6D61" w:rsidRDefault="003E51D2" w:rsidP="0003143F">
      <w:pPr>
        <w:pStyle w:val="ESBodyText0"/>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428"/>
        <w:gridCol w:w="1765"/>
      </w:tblGrid>
      <w:tr w:rsidR="0024609D" w14:paraId="16913069" w14:textId="77777777" w:rsidTr="0024609D">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noWrap/>
            <w:vAlign w:val="center"/>
          </w:tcPr>
          <w:p w14:paraId="75D5C0CF" w14:textId="77777777" w:rsidR="009E6D61" w:rsidRPr="003666F6" w:rsidRDefault="00197531">
            <w:pPr>
              <w:spacing w:before="40" w:after="40" w:line="240" w:lineRule="auto"/>
              <w:rPr>
                <w:rFonts w:cs="Times New Roman"/>
                <w:szCs w:val="22"/>
                <w:vertAlign w:val="superscript"/>
              </w:rPr>
            </w:pPr>
            <w:r w:rsidRPr="003666F6">
              <w:rPr>
                <w:rFonts w:cs="Times New Roman"/>
                <w:bCs w:val="0"/>
                <w:szCs w:val="22"/>
              </w:rPr>
              <w:t xml:space="preserve">Equity </w:t>
            </w:r>
            <w:r w:rsidRPr="003666F6">
              <w:rPr>
                <w:rFonts w:cs="Times New Roman"/>
                <w:bCs w:val="0"/>
                <w:szCs w:val="22"/>
                <w:vertAlign w:val="superscript"/>
              </w:rPr>
              <w:t>1</w:t>
            </w:r>
          </w:p>
        </w:tc>
        <w:tc>
          <w:tcPr>
            <w:tcW w:w="1425" w:type="pct"/>
            <w:tcBorders>
              <w:left w:val="single" w:sz="4" w:space="0" w:color="FFFFFF" w:themeColor="background1"/>
              <w:bottom w:val="single" w:sz="4" w:space="0" w:color="FFFFFF" w:themeColor="background1"/>
            </w:tcBorders>
            <w:shd w:val="clear" w:color="auto" w:fill="FFC000"/>
            <w:noWrap/>
            <w:vAlign w:val="center"/>
          </w:tcPr>
          <w:p w14:paraId="2452C661" w14:textId="77777777" w:rsidR="009E6D61" w:rsidRPr="003666F6" w:rsidRDefault="00197531">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24609D" w14:paraId="73DED895"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nil"/>
            </w:tcBorders>
            <w:shd w:val="clear" w:color="auto" w:fill="D9D9D9" w:themeFill="background1" w:themeFillShade="D9"/>
            <w:noWrap/>
            <w:vAlign w:val="center"/>
          </w:tcPr>
          <w:p w14:paraId="5AFAF652" w14:textId="77777777" w:rsidR="00161AA7" w:rsidRDefault="00197531" w:rsidP="00161AA7">
            <w:pPr>
              <w:spacing w:before="40" w:after="40" w:line="240" w:lineRule="auto"/>
              <w:rPr>
                <w:rFonts w:cs="Times New Roman"/>
                <w:szCs w:val="22"/>
              </w:rPr>
            </w:pPr>
            <w:r>
              <w:rPr>
                <w:rFonts w:cs="Times New Roman"/>
                <w:b w:val="0"/>
                <w:szCs w:val="22"/>
              </w:rPr>
              <w:t>Equity (Social Disadvantage)</w:t>
            </w:r>
          </w:p>
        </w:tc>
        <w:tc>
          <w:tcPr>
            <w:tcW w:w="1425" w:type="pct"/>
            <w:tcBorders>
              <w:top w:val="single" w:sz="4" w:space="0" w:color="FFFFFF" w:themeColor="background1"/>
              <w:left w:val="nil"/>
              <w:bottom w:val="nil"/>
            </w:tcBorders>
            <w:shd w:val="clear" w:color="auto" w:fill="D9D9D9" w:themeFill="background1" w:themeFillShade="D9"/>
            <w:noWrap/>
          </w:tcPr>
          <w:p w14:paraId="68C8A13F"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$103,438</w:t>
            </w:r>
          </w:p>
        </w:tc>
      </w:tr>
      <w:tr w:rsidR="0024609D" w14:paraId="61F3CFB9"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4727BF25" w14:textId="77777777" w:rsidR="00161AA7" w:rsidRDefault="00197531" w:rsidP="00161AA7">
            <w:pPr>
              <w:spacing w:before="40" w:after="40" w:line="240" w:lineRule="auto"/>
              <w:rPr>
                <w:rFonts w:cs="Times New Roman"/>
                <w:szCs w:val="22"/>
              </w:rPr>
            </w:pPr>
            <w:r>
              <w:rPr>
                <w:rFonts w:cs="Times New Roman"/>
                <w:b w:val="0"/>
                <w:szCs w:val="22"/>
              </w:rPr>
              <w:t>Equity (Catch Up)</w:t>
            </w:r>
          </w:p>
        </w:tc>
        <w:tc>
          <w:tcPr>
            <w:tcW w:w="1425" w:type="pct"/>
            <w:tcBorders>
              <w:top w:val="nil"/>
              <w:left w:val="nil"/>
              <w:bottom w:val="nil"/>
            </w:tcBorders>
            <w:shd w:val="clear" w:color="auto" w:fill="F2F2F2" w:themeFill="background1" w:themeFillShade="F2"/>
            <w:noWrap/>
          </w:tcPr>
          <w:p w14:paraId="5ADCC163"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2E5B6388"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D9D9D9" w:themeFill="background1" w:themeFillShade="D9"/>
            <w:noWrap/>
            <w:vAlign w:val="center"/>
          </w:tcPr>
          <w:p w14:paraId="6174E776" w14:textId="77777777" w:rsidR="00161AA7" w:rsidRDefault="00197531" w:rsidP="00161AA7">
            <w:pPr>
              <w:spacing w:before="40" w:after="40" w:line="240" w:lineRule="auto"/>
              <w:rPr>
                <w:rFonts w:cs="Times New Roman"/>
                <w:szCs w:val="22"/>
              </w:rPr>
            </w:pPr>
            <w:r>
              <w:rPr>
                <w:rFonts w:cs="Times New Roman"/>
                <w:b w:val="0"/>
                <w:szCs w:val="22"/>
              </w:rPr>
              <w:t>Transition Funding</w:t>
            </w:r>
          </w:p>
        </w:tc>
        <w:tc>
          <w:tcPr>
            <w:tcW w:w="1425" w:type="pct"/>
            <w:tcBorders>
              <w:top w:val="nil"/>
              <w:left w:val="nil"/>
              <w:bottom w:val="nil"/>
            </w:tcBorders>
            <w:shd w:val="clear" w:color="auto" w:fill="D9D9D9" w:themeFill="background1" w:themeFillShade="D9"/>
            <w:noWrap/>
          </w:tcPr>
          <w:p w14:paraId="5CE0925A"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7386FB4E"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4" w:space="0" w:color="FFFFFF" w:themeColor="background1"/>
              <w:right w:val="nil"/>
            </w:tcBorders>
            <w:shd w:val="clear" w:color="auto" w:fill="F2F2F2" w:themeFill="background1" w:themeFillShade="F2"/>
            <w:noWrap/>
            <w:vAlign w:val="center"/>
          </w:tcPr>
          <w:p w14:paraId="03063446" w14:textId="77777777" w:rsidR="00161AA7" w:rsidRDefault="00197531" w:rsidP="00161AA7">
            <w:pPr>
              <w:spacing w:before="40" w:after="40"/>
              <w:rPr>
                <w:rFonts w:cs="Times New Roman"/>
                <w:szCs w:val="22"/>
              </w:rPr>
            </w:pPr>
            <w:r>
              <w:rPr>
                <w:rFonts w:cs="Times New Roman"/>
                <w:b w:val="0"/>
                <w:szCs w:val="22"/>
              </w:rPr>
              <w:t>Equity (Social Disadvantage – Extraordinary Growth)</w:t>
            </w:r>
          </w:p>
          <w:p w14:paraId="20100912" w14:textId="77777777" w:rsidR="00161AA7" w:rsidRDefault="003E51D2" w:rsidP="00161AA7">
            <w:pPr>
              <w:spacing w:before="40" w:after="40" w:line="240" w:lineRule="auto"/>
              <w:rPr>
                <w:rFonts w:cs="Times New Roman"/>
                <w:color w:val="FFFFFF"/>
                <w:szCs w:val="22"/>
              </w:rPr>
            </w:pPr>
          </w:p>
        </w:tc>
        <w:tc>
          <w:tcPr>
            <w:tcW w:w="1425" w:type="pct"/>
            <w:tcBorders>
              <w:top w:val="nil"/>
              <w:left w:val="nil"/>
              <w:bottom w:val="single" w:sz="4" w:space="0" w:color="FFFFFF" w:themeColor="background1"/>
            </w:tcBorders>
            <w:shd w:val="clear" w:color="auto" w:fill="F2F2F2" w:themeFill="background1" w:themeFillShade="F2"/>
            <w:noWrap/>
          </w:tcPr>
          <w:p w14:paraId="2238AE64"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3EB372B0"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tcPr>
          <w:p w14:paraId="1C63DC65" w14:textId="77777777" w:rsidR="00161AA7" w:rsidRDefault="00197531" w:rsidP="0003143F">
            <w:pPr>
              <w:spacing w:before="40" w:after="40" w:line="240" w:lineRule="auto"/>
              <w:rPr>
                <w:rFonts w:cs="Times New Roman"/>
                <w:szCs w:val="22"/>
              </w:rPr>
            </w:pPr>
            <w:r>
              <w:rPr>
                <w:rFonts w:cs="Times New Roman"/>
                <w:szCs w:val="22"/>
              </w:rPr>
              <w:t>Equity Total</w:t>
            </w:r>
          </w:p>
        </w:tc>
        <w:tc>
          <w:tcPr>
            <w:tcW w:w="1425" w:type="pct"/>
            <w:tcBorders>
              <w:top w:val="single" w:sz="4" w:space="0" w:color="FFFFFF" w:themeColor="background1"/>
              <w:left w:val="single" w:sz="4" w:space="0" w:color="FFFFFF" w:themeColor="background1"/>
              <w:bottom w:val="nil"/>
            </w:tcBorders>
            <w:shd w:val="clear" w:color="auto" w:fill="FFC000"/>
            <w:noWrap/>
          </w:tcPr>
          <w:p w14:paraId="3E0AC850" w14:textId="77777777" w:rsidR="00161AA7" w:rsidRPr="003666F6" w:rsidRDefault="00197531" w:rsidP="00161AA7">
            <w:pPr>
              <w:jc w:val="right"/>
              <w:cnfStyle w:val="000000100000" w:firstRow="0" w:lastRow="0" w:firstColumn="0" w:lastColumn="0" w:oddVBand="0" w:evenVBand="0" w:oddHBand="1" w:evenHBand="0" w:firstRowFirstColumn="0" w:firstRowLastColumn="0" w:lastRowFirstColumn="0" w:lastRowLastColumn="0"/>
              <w:rPr>
                <w:b/>
                <w:bCs/>
              </w:rPr>
            </w:pPr>
            <w:r>
              <w:rPr>
                <w:b/>
                <w:bCs/>
              </w:rPr>
              <w:t>$103,438</w:t>
            </w:r>
          </w:p>
        </w:tc>
      </w:tr>
    </w:tbl>
    <w:p w14:paraId="0543AAAD" w14:textId="77777777" w:rsidR="009E6D61" w:rsidRDefault="003E51D2" w:rsidP="0003143F">
      <w:pPr>
        <w:pStyle w:val="ESBodyText0"/>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95"/>
        <w:gridCol w:w="1798"/>
      </w:tblGrid>
      <w:tr w:rsidR="0024609D" w14:paraId="48E4B924" w14:textId="77777777" w:rsidTr="0024609D">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0FF74F12" w14:textId="77777777" w:rsidR="009E6D61" w:rsidRPr="003666F6" w:rsidRDefault="00197531">
            <w:pPr>
              <w:spacing w:before="40" w:after="40" w:line="240" w:lineRule="auto"/>
              <w:rPr>
                <w:rFonts w:cs="Times New Roman"/>
                <w:szCs w:val="22"/>
              </w:rPr>
            </w:pPr>
            <w:r w:rsidRPr="003666F6">
              <w:rPr>
                <w:rFonts w:cs="Times New Roman"/>
                <w:bCs w:val="0"/>
                <w:szCs w:val="22"/>
              </w:rPr>
              <w:t>Expenditure</w:t>
            </w:r>
          </w:p>
        </w:tc>
        <w:tc>
          <w:tcPr>
            <w:tcW w:w="1452" w:type="pct"/>
            <w:tcBorders>
              <w:left w:val="single" w:sz="4" w:space="0" w:color="FFFFFF" w:themeColor="background1"/>
              <w:bottom w:val="single" w:sz="4" w:space="0" w:color="FFFFFF" w:themeColor="background1"/>
            </w:tcBorders>
            <w:shd w:val="clear" w:color="auto" w:fill="FFC000"/>
            <w:vAlign w:val="center"/>
            <w:hideMark/>
          </w:tcPr>
          <w:p w14:paraId="1DA11D10" w14:textId="77777777" w:rsidR="009E6D61" w:rsidRPr="003666F6" w:rsidRDefault="00197531">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24609D" w14:paraId="0A57C4E5"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nil"/>
            </w:tcBorders>
            <w:shd w:val="clear" w:color="auto" w:fill="D9D9D9" w:themeFill="background1" w:themeFillShade="D9"/>
            <w:noWrap/>
            <w:vAlign w:val="center"/>
            <w:hideMark/>
          </w:tcPr>
          <w:p w14:paraId="099F7B1D" w14:textId="77777777" w:rsidR="00161AA7" w:rsidRDefault="00197531" w:rsidP="00161AA7">
            <w:pPr>
              <w:spacing w:before="40" w:after="40" w:line="240" w:lineRule="auto"/>
              <w:rPr>
                <w:rFonts w:cs="Times New Roman"/>
                <w:szCs w:val="22"/>
                <w:vertAlign w:val="superscript"/>
              </w:rPr>
            </w:pPr>
            <w:r>
              <w:rPr>
                <w:rFonts w:cs="Times New Roman"/>
                <w:b w:val="0"/>
                <w:szCs w:val="22"/>
              </w:rPr>
              <w:t xml:space="preserve">Student Resource Package </w:t>
            </w:r>
            <w:r>
              <w:rPr>
                <w:rFonts w:cs="Times New Roman"/>
                <w:b w:val="0"/>
                <w:szCs w:val="22"/>
                <w:vertAlign w:val="superscript"/>
              </w:rPr>
              <w:t>2</w:t>
            </w:r>
          </w:p>
        </w:tc>
        <w:tc>
          <w:tcPr>
            <w:tcW w:w="1452" w:type="pct"/>
            <w:tcBorders>
              <w:top w:val="single" w:sz="4" w:space="0" w:color="FFFFFF" w:themeColor="background1"/>
              <w:left w:val="nil"/>
              <w:bottom w:val="nil"/>
            </w:tcBorders>
            <w:shd w:val="clear" w:color="auto" w:fill="D9D9D9" w:themeFill="background1" w:themeFillShade="D9"/>
            <w:noWrap/>
          </w:tcPr>
          <w:p w14:paraId="4642C3A1"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$1,776,671</w:t>
            </w:r>
          </w:p>
        </w:tc>
      </w:tr>
      <w:tr w:rsidR="0024609D" w14:paraId="7A2DF094"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64292AA7" w14:textId="77777777" w:rsidR="00161AA7" w:rsidRDefault="00197531" w:rsidP="00161AA7">
            <w:pPr>
              <w:spacing w:before="40" w:after="40" w:line="240" w:lineRule="auto"/>
              <w:rPr>
                <w:rFonts w:cs="Times New Roman"/>
                <w:szCs w:val="22"/>
              </w:rPr>
            </w:pPr>
            <w:r>
              <w:rPr>
                <w:rFonts w:cs="Times New Roman"/>
                <w:b w:val="0"/>
                <w:szCs w:val="22"/>
              </w:rPr>
              <w:t>Adjustments</w:t>
            </w:r>
          </w:p>
        </w:tc>
        <w:tc>
          <w:tcPr>
            <w:tcW w:w="1452" w:type="pct"/>
            <w:tcBorders>
              <w:top w:val="nil"/>
              <w:left w:val="nil"/>
              <w:bottom w:val="nil"/>
            </w:tcBorders>
            <w:shd w:val="clear" w:color="auto" w:fill="F2F2F2" w:themeFill="background1" w:themeFillShade="F2"/>
            <w:noWrap/>
          </w:tcPr>
          <w:p w14:paraId="1A5641FB"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69ACFFAD"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4F735906" w14:textId="77777777" w:rsidR="00161AA7" w:rsidRDefault="00197531" w:rsidP="00161AA7">
            <w:pPr>
              <w:spacing w:before="40" w:after="40" w:line="240" w:lineRule="auto"/>
              <w:rPr>
                <w:rFonts w:cs="Times New Roman"/>
                <w:szCs w:val="22"/>
              </w:rPr>
            </w:pPr>
            <w:r>
              <w:rPr>
                <w:rFonts w:cs="Times New Roman"/>
                <w:b w:val="0"/>
                <w:szCs w:val="22"/>
              </w:rPr>
              <w:t>Books &amp; Publications</w:t>
            </w:r>
          </w:p>
        </w:tc>
        <w:tc>
          <w:tcPr>
            <w:tcW w:w="1452" w:type="pct"/>
            <w:tcBorders>
              <w:top w:val="nil"/>
              <w:left w:val="nil"/>
              <w:bottom w:val="nil"/>
            </w:tcBorders>
            <w:shd w:val="clear" w:color="auto" w:fill="D9D9D9" w:themeFill="background1" w:themeFillShade="D9"/>
            <w:noWrap/>
          </w:tcPr>
          <w:p w14:paraId="172B0D61"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$357</w:t>
            </w:r>
          </w:p>
        </w:tc>
      </w:tr>
      <w:tr w:rsidR="0024609D" w14:paraId="56FFAB24"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2CD98DF4" w14:textId="77777777" w:rsidR="0082159F" w:rsidRDefault="00197531" w:rsidP="002B0031">
            <w:pPr>
              <w:spacing w:before="40" w:after="40" w:line="240" w:lineRule="auto"/>
              <w:rPr>
                <w:rFonts w:cs="Times New Roman"/>
                <w:szCs w:val="22"/>
              </w:rPr>
            </w:pPr>
            <w:r w:rsidRPr="0082159F">
              <w:rPr>
                <w:rFonts w:cs="Times New Roman"/>
                <w:b w:val="0"/>
                <w:szCs w:val="22"/>
              </w:rPr>
              <w:t>Camps/Excursions/Activities</w:t>
            </w:r>
          </w:p>
        </w:tc>
        <w:tc>
          <w:tcPr>
            <w:tcW w:w="1452" w:type="pct"/>
            <w:tcBorders>
              <w:top w:val="nil"/>
              <w:left w:val="nil"/>
              <w:bottom w:val="nil"/>
            </w:tcBorders>
            <w:shd w:val="clear" w:color="auto" w:fill="F2F2F2" w:themeFill="background1" w:themeFillShade="F2"/>
            <w:noWrap/>
          </w:tcPr>
          <w:p w14:paraId="31279804" w14:textId="77777777" w:rsidR="0082159F" w:rsidRDefault="00197531" w:rsidP="002B0031">
            <w:pPr>
              <w:jc w:val="right"/>
              <w:cnfStyle w:val="000000000000" w:firstRow="0" w:lastRow="0" w:firstColumn="0" w:lastColumn="0" w:oddVBand="0" w:evenVBand="0" w:oddHBand="0" w:evenHBand="0" w:firstRowFirstColumn="0" w:firstRowLastColumn="0" w:lastRowFirstColumn="0" w:lastRowLastColumn="0"/>
            </w:pPr>
            <w:r>
              <w:t>$17,816</w:t>
            </w:r>
          </w:p>
        </w:tc>
      </w:tr>
      <w:tr w:rsidR="0024609D" w14:paraId="73368BA8"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29556E2E" w14:textId="77777777" w:rsidR="00161AA7" w:rsidRDefault="00197531" w:rsidP="00161AA7">
            <w:pPr>
              <w:spacing w:before="40" w:after="40" w:line="240" w:lineRule="auto"/>
              <w:rPr>
                <w:rFonts w:cs="Times New Roman"/>
                <w:szCs w:val="22"/>
              </w:rPr>
            </w:pPr>
            <w:r>
              <w:rPr>
                <w:rFonts w:cs="Times New Roman"/>
                <w:b w:val="0"/>
                <w:szCs w:val="22"/>
              </w:rPr>
              <w:t>Communication Costs</w:t>
            </w:r>
          </w:p>
        </w:tc>
        <w:tc>
          <w:tcPr>
            <w:tcW w:w="1452" w:type="pct"/>
            <w:tcBorders>
              <w:top w:val="nil"/>
              <w:left w:val="nil"/>
              <w:bottom w:val="nil"/>
            </w:tcBorders>
            <w:shd w:val="clear" w:color="auto" w:fill="D9D9D9" w:themeFill="background1" w:themeFillShade="D9"/>
            <w:noWrap/>
          </w:tcPr>
          <w:p w14:paraId="4D7095FB"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$2,863</w:t>
            </w:r>
          </w:p>
        </w:tc>
      </w:tr>
      <w:tr w:rsidR="0024609D" w14:paraId="31C81222"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0E98A532" w14:textId="77777777" w:rsidR="00161AA7" w:rsidRDefault="00197531" w:rsidP="00161AA7">
            <w:pPr>
              <w:spacing w:before="40" w:after="40" w:line="240" w:lineRule="auto"/>
              <w:rPr>
                <w:rFonts w:cs="Times New Roman"/>
                <w:szCs w:val="22"/>
              </w:rPr>
            </w:pPr>
            <w:r>
              <w:rPr>
                <w:rFonts w:cs="Times New Roman"/>
                <w:b w:val="0"/>
                <w:bCs w:val="0"/>
                <w:szCs w:val="22"/>
              </w:rPr>
              <w:t>Consumables</w:t>
            </w:r>
          </w:p>
        </w:tc>
        <w:tc>
          <w:tcPr>
            <w:tcW w:w="1452" w:type="pct"/>
            <w:tcBorders>
              <w:top w:val="nil"/>
              <w:left w:val="nil"/>
              <w:bottom w:val="nil"/>
            </w:tcBorders>
            <w:shd w:val="clear" w:color="auto" w:fill="F2F2F2" w:themeFill="background1" w:themeFillShade="F2"/>
            <w:noWrap/>
          </w:tcPr>
          <w:p w14:paraId="110617B4"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$65,246</w:t>
            </w:r>
          </w:p>
        </w:tc>
      </w:tr>
      <w:tr w:rsidR="0024609D" w14:paraId="3D0BBEB7"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636C6F9A" w14:textId="77777777" w:rsidR="00161AA7" w:rsidRDefault="00197531" w:rsidP="00161AA7">
            <w:pPr>
              <w:spacing w:before="40" w:after="40" w:line="240" w:lineRule="auto"/>
              <w:rPr>
                <w:rFonts w:cs="Times New Roman"/>
                <w:szCs w:val="22"/>
                <w:vertAlign w:val="superscript"/>
              </w:rPr>
            </w:pPr>
            <w:r>
              <w:rPr>
                <w:rFonts w:cs="Times New Roman"/>
                <w:b w:val="0"/>
                <w:bCs w:val="0"/>
                <w:szCs w:val="22"/>
              </w:rPr>
              <w:t xml:space="preserve">Miscellaneous Expense </w:t>
            </w:r>
            <w:r>
              <w:rPr>
                <w:rFonts w:cs="Times New Roman"/>
                <w:b w:val="0"/>
                <w:bCs w:val="0"/>
                <w:szCs w:val="22"/>
                <w:vertAlign w:val="superscript"/>
              </w:rPr>
              <w:t>3</w:t>
            </w:r>
          </w:p>
        </w:tc>
        <w:tc>
          <w:tcPr>
            <w:tcW w:w="1452" w:type="pct"/>
            <w:tcBorders>
              <w:top w:val="nil"/>
              <w:left w:val="nil"/>
              <w:bottom w:val="nil"/>
            </w:tcBorders>
            <w:shd w:val="clear" w:color="auto" w:fill="D9D9D9" w:themeFill="background1" w:themeFillShade="D9"/>
            <w:noWrap/>
          </w:tcPr>
          <w:p w14:paraId="52024B33"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$10,088</w:t>
            </w:r>
          </w:p>
        </w:tc>
      </w:tr>
      <w:tr w:rsidR="0024609D" w14:paraId="6B310215"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06A04E7F" w14:textId="77777777" w:rsidR="00161AA7" w:rsidRDefault="00197531" w:rsidP="00161AA7">
            <w:pPr>
              <w:spacing w:before="40" w:after="40" w:line="240" w:lineRule="auto"/>
              <w:rPr>
                <w:rFonts w:cs="Times New Roman"/>
                <w:szCs w:val="22"/>
              </w:rPr>
            </w:pPr>
            <w:r>
              <w:rPr>
                <w:rFonts w:cs="Times New Roman"/>
                <w:b w:val="0"/>
                <w:szCs w:val="22"/>
              </w:rPr>
              <w:t>Professional Development</w:t>
            </w:r>
          </w:p>
        </w:tc>
        <w:tc>
          <w:tcPr>
            <w:tcW w:w="1452" w:type="pct"/>
            <w:tcBorders>
              <w:top w:val="nil"/>
              <w:left w:val="nil"/>
              <w:bottom w:val="nil"/>
            </w:tcBorders>
            <w:shd w:val="clear" w:color="auto" w:fill="F2F2F2" w:themeFill="background1" w:themeFillShade="F2"/>
            <w:noWrap/>
          </w:tcPr>
          <w:p w14:paraId="4EF013B6"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$6,670</w:t>
            </w:r>
          </w:p>
        </w:tc>
      </w:tr>
      <w:tr w:rsidR="0024609D" w14:paraId="1D234914"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5229DF15" w14:textId="77777777" w:rsidR="001257A3" w:rsidRDefault="00197531" w:rsidP="002B0031">
            <w:pPr>
              <w:spacing w:before="40" w:after="40" w:line="240" w:lineRule="auto"/>
              <w:rPr>
                <w:rFonts w:cs="Times New Roman"/>
                <w:szCs w:val="22"/>
              </w:rPr>
            </w:pPr>
            <w:r w:rsidRPr="001257A3">
              <w:rPr>
                <w:rFonts w:cs="Times New Roman"/>
                <w:b w:val="0"/>
                <w:szCs w:val="22"/>
              </w:rPr>
              <w:t>Equipment/Maintenance/Hire</w:t>
            </w:r>
            <w:r>
              <w:rPr>
                <w:rFonts w:cs="Times New Roman"/>
                <w:b w:val="0"/>
                <w:szCs w:val="22"/>
              </w:rPr>
              <w:t xml:space="preserve"> </w:t>
            </w:r>
          </w:p>
        </w:tc>
        <w:tc>
          <w:tcPr>
            <w:tcW w:w="1452" w:type="pct"/>
            <w:tcBorders>
              <w:top w:val="nil"/>
              <w:left w:val="nil"/>
              <w:bottom w:val="nil"/>
            </w:tcBorders>
            <w:shd w:val="clear" w:color="auto" w:fill="D9D9D9" w:themeFill="background1" w:themeFillShade="D9"/>
            <w:noWrap/>
          </w:tcPr>
          <w:p w14:paraId="2B60016C" w14:textId="77777777" w:rsidR="001257A3" w:rsidRDefault="00197531" w:rsidP="002B0031">
            <w:pPr>
              <w:jc w:val="right"/>
              <w:cnfStyle w:val="000000100000" w:firstRow="0" w:lastRow="0" w:firstColumn="0" w:lastColumn="0" w:oddVBand="0" w:evenVBand="0" w:oddHBand="1" w:evenHBand="0" w:firstRowFirstColumn="0" w:firstRowLastColumn="0" w:lastRowFirstColumn="0" w:lastRowLastColumn="0"/>
            </w:pPr>
            <w:r>
              <w:t>$17,057</w:t>
            </w:r>
          </w:p>
        </w:tc>
      </w:tr>
      <w:tr w:rsidR="0024609D" w14:paraId="18E8D3A7"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6DB74A9F" w14:textId="77777777" w:rsidR="00161AA7" w:rsidRDefault="00197531" w:rsidP="00161AA7">
            <w:pPr>
              <w:spacing w:before="40" w:after="40" w:line="240" w:lineRule="auto"/>
              <w:rPr>
                <w:rFonts w:cs="Times New Roman"/>
                <w:szCs w:val="22"/>
              </w:rPr>
            </w:pPr>
            <w:r>
              <w:rPr>
                <w:rFonts w:cs="Times New Roman"/>
                <w:b w:val="0"/>
                <w:szCs w:val="22"/>
              </w:rPr>
              <w:t>Property Services</w:t>
            </w:r>
          </w:p>
        </w:tc>
        <w:tc>
          <w:tcPr>
            <w:tcW w:w="1452" w:type="pct"/>
            <w:tcBorders>
              <w:top w:val="nil"/>
              <w:left w:val="nil"/>
              <w:bottom w:val="nil"/>
            </w:tcBorders>
            <w:shd w:val="clear" w:color="auto" w:fill="F2F2F2" w:themeFill="background1" w:themeFillShade="F2"/>
            <w:noWrap/>
          </w:tcPr>
          <w:p w14:paraId="2BB6A51B"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$83,960</w:t>
            </w:r>
          </w:p>
        </w:tc>
      </w:tr>
      <w:tr w:rsidR="0024609D" w14:paraId="695094BB"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370C7527" w14:textId="77777777" w:rsidR="00161AA7" w:rsidRDefault="00197531" w:rsidP="00161AA7">
            <w:pPr>
              <w:spacing w:before="40" w:after="40" w:line="240" w:lineRule="auto"/>
              <w:rPr>
                <w:rFonts w:cs="Times New Roman"/>
                <w:szCs w:val="22"/>
                <w:vertAlign w:val="superscript"/>
              </w:rPr>
            </w:pPr>
            <w:r>
              <w:rPr>
                <w:rFonts w:cs="Times New Roman"/>
                <w:b w:val="0"/>
                <w:szCs w:val="22"/>
              </w:rPr>
              <w:t xml:space="preserve">Salaries &amp; Allowances </w:t>
            </w:r>
            <w:r>
              <w:rPr>
                <w:rFonts w:cs="Times New Roman"/>
                <w:b w:val="0"/>
                <w:szCs w:val="22"/>
                <w:vertAlign w:val="superscript"/>
              </w:rPr>
              <w:t>4</w:t>
            </w:r>
          </w:p>
        </w:tc>
        <w:tc>
          <w:tcPr>
            <w:tcW w:w="1452" w:type="pct"/>
            <w:tcBorders>
              <w:top w:val="nil"/>
              <w:left w:val="nil"/>
              <w:bottom w:val="nil"/>
            </w:tcBorders>
            <w:shd w:val="clear" w:color="auto" w:fill="D9D9D9" w:themeFill="background1" w:themeFillShade="D9"/>
            <w:noWrap/>
          </w:tcPr>
          <w:p w14:paraId="73F71795"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$45,537</w:t>
            </w:r>
          </w:p>
        </w:tc>
      </w:tr>
      <w:tr w:rsidR="0024609D" w14:paraId="59F6D847"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5366AF76" w14:textId="77777777" w:rsidR="00B31127" w:rsidRDefault="00197531" w:rsidP="00161AA7">
            <w:pPr>
              <w:spacing w:before="40" w:after="40" w:line="240" w:lineRule="auto"/>
              <w:rPr>
                <w:rFonts w:cs="Times New Roman"/>
                <w:szCs w:val="22"/>
              </w:rPr>
            </w:pPr>
            <w:r>
              <w:rPr>
                <w:rFonts w:cs="Times New Roman"/>
                <w:b w:val="0"/>
                <w:szCs w:val="22"/>
              </w:rPr>
              <w:t>Support Services</w:t>
            </w:r>
          </w:p>
        </w:tc>
        <w:tc>
          <w:tcPr>
            <w:tcW w:w="1452" w:type="pct"/>
            <w:tcBorders>
              <w:top w:val="nil"/>
              <w:left w:val="nil"/>
              <w:bottom w:val="nil"/>
            </w:tcBorders>
            <w:shd w:val="clear" w:color="auto" w:fill="F2F2F2" w:themeFill="background1" w:themeFillShade="F2"/>
            <w:noWrap/>
          </w:tcPr>
          <w:p w14:paraId="2566206E" w14:textId="77777777" w:rsidR="00B31127" w:rsidRPr="00F72FB2" w:rsidRDefault="00197531" w:rsidP="00161AA7">
            <w:pPr>
              <w:jc w:val="right"/>
              <w:cnfStyle w:val="000000000000" w:firstRow="0" w:lastRow="0" w:firstColumn="0" w:lastColumn="0" w:oddVBand="0" w:evenVBand="0" w:oddHBand="0" w:evenHBand="0" w:firstRowFirstColumn="0" w:firstRowLastColumn="0" w:lastRowFirstColumn="0" w:lastRowLastColumn="0"/>
            </w:pPr>
            <w:r>
              <w:t>$63,872</w:t>
            </w:r>
          </w:p>
        </w:tc>
      </w:tr>
      <w:tr w:rsidR="0024609D" w14:paraId="288BC0CA"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6DD3FE19" w14:textId="77777777" w:rsidR="00161AA7" w:rsidRDefault="00197531" w:rsidP="00161AA7">
            <w:pPr>
              <w:spacing w:before="40" w:after="40" w:line="240" w:lineRule="auto"/>
              <w:rPr>
                <w:rFonts w:cs="Times New Roman"/>
                <w:szCs w:val="22"/>
              </w:rPr>
            </w:pPr>
            <w:r>
              <w:rPr>
                <w:rFonts w:cs="Times New Roman"/>
                <w:b w:val="0"/>
                <w:szCs w:val="22"/>
              </w:rPr>
              <w:t>Trading &amp; Fundraising</w:t>
            </w:r>
          </w:p>
        </w:tc>
        <w:tc>
          <w:tcPr>
            <w:tcW w:w="1452" w:type="pct"/>
            <w:tcBorders>
              <w:top w:val="nil"/>
              <w:left w:val="nil"/>
              <w:bottom w:val="nil"/>
            </w:tcBorders>
            <w:shd w:val="clear" w:color="auto" w:fill="D9D9D9" w:themeFill="background1" w:themeFillShade="D9"/>
            <w:noWrap/>
          </w:tcPr>
          <w:p w14:paraId="78C7EAE8"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$2,912</w:t>
            </w:r>
          </w:p>
        </w:tc>
      </w:tr>
      <w:tr w:rsidR="0024609D" w14:paraId="2FCB9681"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146FDEA0" w14:textId="77777777" w:rsidR="001257A3" w:rsidRDefault="00197531" w:rsidP="002B0031">
            <w:pPr>
              <w:spacing w:before="40" w:after="40" w:line="240" w:lineRule="auto"/>
              <w:rPr>
                <w:rFonts w:cs="Times New Roman"/>
                <w:szCs w:val="22"/>
              </w:rPr>
            </w:pPr>
            <w:r>
              <w:rPr>
                <w:rFonts w:cs="Times New Roman"/>
                <w:b w:val="0"/>
                <w:szCs w:val="22"/>
              </w:rPr>
              <w:t>Motor Vehicle Expenses</w:t>
            </w:r>
          </w:p>
        </w:tc>
        <w:tc>
          <w:tcPr>
            <w:tcW w:w="1452" w:type="pct"/>
            <w:tcBorders>
              <w:top w:val="nil"/>
              <w:left w:val="nil"/>
              <w:bottom w:val="nil"/>
            </w:tcBorders>
            <w:shd w:val="clear" w:color="auto" w:fill="F2F2F2" w:themeFill="background1" w:themeFillShade="F2"/>
            <w:noWrap/>
          </w:tcPr>
          <w:p w14:paraId="22BC606A" w14:textId="77777777" w:rsidR="001257A3" w:rsidRDefault="00197531" w:rsidP="002B0031">
            <w:pPr>
              <w:jc w:val="right"/>
              <w:cnfStyle w:val="000000000000" w:firstRow="0" w:lastRow="0" w:firstColumn="0" w:lastColumn="0" w:oddVBand="0" w:evenVBand="0" w:oddHBand="0" w:evenHBand="0" w:firstRowFirstColumn="0" w:firstRowLastColumn="0" w:lastRowFirstColumn="0" w:lastRowLastColumn="0"/>
            </w:pPr>
            <w:r>
              <w:t>$6,236</w:t>
            </w:r>
          </w:p>
        </w:tc>
      </w:tr>
      <w:tr w:rsidR="0024609D" w14:paraId="5F676185"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vAlign w:val="center"/>
          </w:tcPr>
          <w:p w14:paraId="30599E18" w14:textId="77777777" w:rsidR="00161AA7" w:rsidRDefault="00197531" w:rsidP="00161AA7">
            <w:pPr>
              <w:spacing w:before="40" w:after="40" w:line="240" w:lineRule="auto"/>
              <w:rPr>
                <w:rFonts w:cs="Times New Roman"/>
                <w:szCs w:val="22"/>
              </w:rPr>
            </w:pPr>
            <w:r>
              <w:rPr>
                <w:rFonts w:cs="Times New Roman"/>
                <w:b w:val="0"/>
                <w:szCs w:val="22"/>
              </w:rPr>
              <w:t>Travel &amp; Subsistence</w:t>
            </w:r>
          </w:p>
        </w:tc>
        <w:tc>
          <w:tcPr>
            <w:tcW w:w="1452" w:type="pct"/>
            <w:tcBorders>
              <w:top w:val="nil"/>
              <w:left w:val="nil"/>
              <w:bottom w:val="nil"/>
            </w:tcBorders>
            <w:shd w:val="clear" w:color="auto" w:fill="D9D9D9" w:themeFill="background1" w:themeFillShade="D9"/>
            <w:noWrap/>
          </w:tcPr>
          <w:p w14:paraId="7912C047"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4834E4AC"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4" w:space="0" w:color="FFFFFF" w:themeColor="background1"/>
              <w:right w:val="nil"/>
            </w:tcBorders>
            <w:shd w:val="clear" w:color="auto" w:fill="F2F2F2" w:themeFill="background1" w:themeFillShade="F2"/>
            <w:noWrap/>
            <w:vAlign w:val="center"/>
          </w:tcPr>
          <w:p w14:paraId="1C1523BB" w14:textId="77777777" w:rsidR="00161AA7" w:rsidRDefault="00197531" w:rsidP="00161AA7">
            <w:pPr>
              <w:spacing w:before="40" w:after="40" w:line="240" w:lineRule="auto"/>
              <w:rPr>
                <w:rFonts w:cs="Times New Roman"/>
                <w:szCs w:val="22"/>
              </w:rPr>
            </w:pPr>
            <w:r>
              <w:rPr>
                <w:rFonts w:cs="Times New Roman"/>
                <w:b w:val="0"/>
                <w:szCs w:val="22"/>
              </w:rPr>
              <w:t>Utilities</w:t>
            </w:r>
          </w:p>
        </w:tc>
        <w:tc>
          <w:tcPr>
            <w:tcW w:w="1452" w:type="pct"/>
            <w:tcBorders>
              <w:top w:val="nil"/>
              <w:left w:val="nil"/>
              <w:bottom w:val="single" w:sz="4" w:space="0" w:color="FFFFFF" w:themeColor="background1"/>
            </w:tcBorders>
            <w:shd w:val="clear" w:color="auto" w:fill="F2F2F2" w:themeFill="background1" w:themeFillShade="F2"/>
            <w:noWrap/>
          </w:tcPr>
          <w:p w14:paraId="72086C6F"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$19,835</w:t>
            </w:r>
          </w:p>
        </w:tc>
      </w:tr>
      <w:tr w:rsidR="0024609D" w14:paraId="38379860"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noWrap/>
            <w:vAlign w:val="center"/>
          </w:tcPr>
          <w:p w14:paraId="30356830" w14:textId="77777777" w:rsidR="00161AA7" w:rsidRDefault="00197531" w:rsidP="00161AA7">
            <w:pPr>
              <w:rPr>
                <w:rFonts w:cs="Times New Roman"/>
                <w:szCs w:val="22"/>
              </w:rPr>
            </w:pPr>
            <w:r>
              <w:rPr>
                <w:rFonts w:cs="Times New Roman"/>
                <w:szCs w:val="22"/>
              </w:rPr>
              <w:t>Total Operating Expenditure</w:t>
            </w:r>
          </w:p>
          <w:p w14:paraId="0BEABAC7" w14:textId="77777777" w:rsidR="00161AA7" w:rsidRDefault="003E51D2" w:rsidP="00161AA7">
            <w:pPr>
              <w:spacing w:before="40" w:after="40" w:line="240" w:lineRule="auto"/>
              <w:rPr>
                <w:rFonts w:cs="Times New Roman"/>
                <w:szCs w:val="22"/>
              </w:rPr>
            </w:pPr>
          </w:p>
        </w:tc>
        <w:tc>
          <w:tcPr>
            <w:tcW w:w="1452" w:type="pct"/>
            <w:tcBorders>
              <w:top w:val="single" w:sz="4" w:space="0" w:color="FFFFFF" w:themeColor="background1"/>
              <w:left w:val="single" w:sz="4" w:space="0" w:color="FFFFFF" w:themeColor="background1"/>
              <w:bottom w:val="single" w:sz="4" w:space="0" w:color="FFFFFF" w:themeColor="background1"/>
            </w:tcBorders>
            <w:shd w:val="clear" w:color="auto" w:fill="FFC000"/>
            <w:noWrap/>
          </w:tcPr>
          <w:p w14:paraId="470C26C1" w14:textId="77777777" w:rsidR="00161AA7" w:rsidRPr="003666F6" w:rsidRDefault="00197531" w:rsidP="00161AA7">
            <w:pPr>
              <w:jc w:val="right"/>
              <w:cnfStyle w:val="000000100000" w:firstRow="0" w:lastRow="0" w:firstColumn="0" w:lastColumn="0" w:oddVBand="0" w:evenVBand="0" w:oddHBand="1" w:evenHBand="0" w:firstRowFirstColumn="0" w:firstRowLastColumn="0" w:lastRowFirstColumn="0" w:lastRowLastColumn="0"/>
              <w:rPr>
                <w:b/>
                <w:bCs/>
              </w:rPr>
            </w:pPr>
            <w:r>
              <w:rPr>
                <w:b/>
                <w:bCs/>
              </w:rPr>
              <w:t>$2,119,119</w:t>
            </w:r>
          </w:p>
        </w:tc>
      </w:tr>
      <w:tr w:rsidR="0024609D" w14:paraId="7F8C3B53"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noWrap/>
            <w:vAlign w:val="center"/>
          </w:tcPr>
          <w:p w14:paraId="47DD61AF" w14:textId="77777777" w:rsidR="00161AA7" w:rsidRDefault="00197531" w:rsidP="00161AA7">
            <w:pPr>
              <w:rPr>
                <w:rFonts w:cs="Times New Roman"/>
                <w:szCs w:val="22"/>
              </w:rPr>
            </w:pPr>
            <w:r>
              <w:rPr>
                <w:rFonts w:cs="Times New Roman"/>
                <w:szCs w:val="22"/>
              </w:rPr>
              <w:t>Net Operating Surplus/-Deficit</w:t>
            </w:r>
          </w:p>
        </w:tc>
        <w:tc>
          <w:tcPr>
            <w:tcW w:w="1452" w:type="pct"/>
            <w:tcBorders>
              <w:top w:val="single" w:sz="4" w:space="0" w:color="FFFFFF" w:themeColor="background1"/>
              <w:left w:val="single" w:sz="4" w:space="0" w:color="FFFFFF" w:themeColor="background1"/>
              <w:bottom w:val="single" w:sz="4" w:space="0" w:color="FFFFFF" w:themeColor="background1"/>
            </w:tcBorders>
            <w:shd w:val="clear" w:color="auto" w:fill="FFC000"/>
            <w:noWrap/>
          </w:tcPr>
          <w:p w14:paraId="12F94301" w14:textId="77777777" w:rsidR="00161AA7" w:rsidRPr="003666F6" w:rsidRDefault="00197531"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$366,436</w:t>
            </w:r>
          </w:p>
        </w:tc>
      </w:tr>
      <w:tr w:rsidR="0024609D" w14:paraId="7D08C3ED"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tcPr>
          <w:p w14:paraId="41CCE7AC" w14:textId="77777777" w:rsidR="00161AA7" w:rsidRDefault="00197531" w:rsidP="00161AA7">
            <w:pPr>
              <w:rPr>
                <w:rFonts w:cs="Times New Roman"/>
                <w:szCs w:val="22"/>
              </w:rPr>
            </w:pPr>
            <w:r>
              <w:rPr>
                <w:rFonts w:cs="Times New Roman"/>
                <w:szCs w:val="22"/>
              </w:rPr>
              <w:t>Asset Acquisitions</w:t>
            </w:r>
          </w:p>
        </w:tc>
        <w:tc>
          <w:tcPr>
            <w:tcW w:w="1452" w:type="pct"/>
            <w:tcBorders>
              <w:top w:val="single" w:sz="4" w:space="0" w:color="FFFFFF" w:themeColor="background1"/>
              <w:left w:val="single" w:sz="4" w:space="0" w:color="FFFFFF" w:themeColor="background1"/>
              <w:bottom w:val="nil"/>
            </w:tcBorders>
            <w:shd w:val="clear" w:color="auto" w:fill="FFC000"/>
            <w:noWrap/>
          </w:tcPr>
          <w:p w14:paraId="6CE08986" w14:textId="77777777" w:rsidR="00161AA7" w:rsidRPr="003666F6" w:rsidRDefault="00197531" w:rsidP="00161AA7">
            <w:pPr>
              <w:jc w:val="right"/>
              <w:cnfStyle w:val="000000100000" w:firstRow="0" w:lastRow="0" w:firstColumn="0" w:lastColumn="0" w:oddVBand="0" w:evenVBand="0" w:oddHBand="1" w:evenHBand="0" w:firstRowFirstColumn="0" w:firstRowLastColumn="0" w:lastRowFirstColumn="0" w:lastRowLastColumn="0"/>
              <w:rPr>
                <w:b/>
                <w:bCs/>
              </w:rPr>
            </w:pPr>
            <w:r>
              <w:rPr>
                <w:b/>
                <w:bCs/>
              </w:rPr>
              <w:t>$5,692</w:t>
            </w:r>
          </w:p>
        </w:tc>
      </w:tr>
    </w:tbl>
    <w:p w14:paraId="54514AD1" w14:textId="77777777" w:rsidR="0003143F" w:rsidRDefault="00197531" w:rsidP="0003143F">
      <w:pPr>
        <w:pStyle w:val="ESBodyText0"/>
        <w:numPr>
          <w:ilvl w:val="0"/>
          <w:numId w:val="29"/>
        </w:numPr>
      </w:pPr>
      <w:r>
        <w:t>The equity funding reported above is a subset of the overall revenue reported by the school.</w:t>
      </w:r>
    </w:p>
    <w:p w14:paraId="4DB0072C" w14:textId="77777777" w:rsidR="0003143F" w:rsidRDefault="00197531" w:rsidP="0003143F">
      <w:pPr>
        <w:pStyle w:val="ESBodyText0"/>
        <w:numPr>
          <w:ilvl w:val="0"/>
          <w:numId w:val="29"/>
        </w:numPr>
      </w:pPr>
      <w:r>
        <w:t>Student Resource Package Expenditure figures are as of 25 Feb 2022 and are subject to change during the reconciliation process.</w:t>
      </w:r>
    </w:p>
    <w:p w14:paraId="750FF541" w14:textId="77777777" w:rsidR="0003143F" w:rsidRDefault="00197531" w:rsidP="0003143F">
      <w:pPr>
        <w:pStyle w:val="ESBodyText0"/>
        <w:numPr>
          <w:ilvl w:val="0"/>
          <w:numId w:val="29"/>
        </w:numPr>
      </w:pPr>
      <w:r>
        <w:t>Miscellaneous Expenses include bank charges, administration expenses, insurance and taxation charges.</w:t>
      </w:r>
    </w:p>
    <w:p w14:paraId="0040A964" w14:textId="77777777" w:rsidR="0003143F" w:rsidRDefault="00197531" w:rsidP="0003143F">
      <w:pPr>
        <w:pStyle w:val="ESBodyText0"/>
        <w:numPr>
          <w:ilvl w:val="0"/>
          <w:numId w:val="29"/>
        </w:numPr>
      </w:pPr>
      <w:r>
        <w:t>Salaries and Allowances refers to school-level payroll.</w:t>
      </w:r>
    </w:p>
    <w:p w14:paraId="4BAF0EA9" w14:textId="77777777" w:rsidR="003666F6" w:rsidRPr="008A4458" w:rsidRDefault="00197531">
      <w:pPr>
        <w:spacing w:after="0" w:line="240" w:lineRule="auto"/>
        <w:rPr>
          <w:rFonts w:eastAsiaTheme="majorEastAsia" w:cstheme="majorBidi"/>
          <w:caps/>
          <w:sz w:val="20"/>
          <w:szCs w:val="20"/>
        </w:rPr>
      </w:pPr>
      <w:r>
        <w:br w:type="page"/>
      </w:r>
    </w:p>
    <w:p w14:paraId="15D23F1E" w14:textId="77777777" w:rsidR="009E6D61" w:rsidRPr="00D4348E" w:rsidRDefault="00197531" w:rsidP="0003143F">
      <w:pPr>
        <w:pStyle w:val="Style10"/>
        <w:spacing w:before="240" w:after="480" w:line="240" w:lineRule="atLeast"/>
      </w:pPr>
      <w:r w:rsidRPr="00D4348E">
        <w:lastRenderedPageBreak/>
        <w:t>F</w:t>
      </w:r>
      <w:r>
        <w:t xml:space="preserve">INANCIAL POSITION AS AT </w:t>
      </w:r>
      <w:r w:rsidRPr="00D4348E">
        <w:t>31 D</w:t>
      </w:r>
      <w:r>
        <w:t>ECEMBER 2021</w:t>
      </w:r>
    </w:p>
    <w:tbl>
      <w:tblPr>
        <w:tblStyle w:val="GridTable2-Accent612"/>
        <w:tblW w:w="2876" w:type="pct"/>
        <w:jc w:val="center"/>
        <w:tblLook w:val="04A0" w:firstRow="1" w:lastRow="0" w:firstColumn="1" w:lastColumn="0" w:noHBand="0" w:noVBand="1"/>
        <w:tblCaption w:val="Fund available"/>
      </w:tblPr>
      <w:tblGrid>
        <w:gridCol w:w="4395"/>
        <w:gridCol w:w="1798"/>
      </w:tblGrid>
      <w:tr w:rsidR="0024609D" w14:paraId="41AD9BA1" w14:textId="77777777" w:rsidTr="0024609D">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3DCC1BF8" w14:textId="77777777" w:rsidR="009E6D61" w:rsidRPr="003666F6" w:rsidRDefault="00197531">
            <w:pPr>
              <w:spacing w:before="40" w:after="40" w:line="240" w:lineRule="auto"/>
              <w:rPr>
                <w:rFonts w:cs="Times New Roman"/>
                <w:szCs w:val="22"/>
              </w:rPr>
            </w:pPr>
            <w:r w:rsidRPr="003666F6">
              <w:rPr>
                <w:rFonts w:cs="Times New Roman"/>
                <w:bCs w:val="0"/>
                <w:szCs w:val="22"/>
              </w:rPr>
              <w:t>Funds available</w:t>
            </w:r>
          </w:p>
        </w:tc>
        <w:tc>
          <w:tcPr>
            <w:tcW w:w="1452" w:type="pct"/>
            <w:tcBorders>
              <w:left w:val="single" w:sz="4" w:space="0" w:color="FFFFFF" w:themeColor="background1"/>
              <w:bottom w:val="single" w:sz="4" w:space="0" w:color="FFFFFF" w:themeColor="background1"/>
            </w:tcBorders>
            <w:shd w:val="clear" w:color="auto" w:fill="FFC000"/>
            <w:vAlign w:val="center"/>
            <w:hideMark/>
          </w:tcPr>
          <w:p w14:paraId="5A59CA2A" w14:textId="77777777" w:rsidR="009E6D61" w:rsidRPr="003666F6" w:rsidRDefault="00197531">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24609D" w14:paraId="3D653EA6"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nil"/>
            </w:tcBorders>
            <w:shd w:val="clear" w:color="auto" w:fill="D9D9D9" w:themeFill="background1" w:themeFillShade="D9"/>
            <w:noWrap/>
            <w:vAlign w:val="center"/>
          </w:tcPr>
          <w:p w14:paraId="3C383852" w14:textId="77777777" w:rsidR="00161AA7" w:rsidRDefault="00197531" w:rsidP="00161AA7">
            <w:pPr>
              <w:spacing w:before="40" w:after="40" w:line="240" w:lineRule="auto"/>
              <w:rPr>
                <w:rFonts w:cs="Times New Roman"/>
                <w:szCs w:val="22"/>
              </w:rPr>
            </w:pPr>
            <w:r>
              <w:rPr>
                <w:rFonts w:cs="Times New Roman"/>
                <w:b w:val="0"/>
                <w:szCs w:val="22"/>
              </w:rPr>
              <w:t>High Yield Investment Account</w:t>
            </w:r>
          </w:p>
        </w:tc>
        <w:tc>
          <w:tcPr>
            <w:tcW w:w="1452" w:type="pct"/>
            <w:tcBorders>
              <w:top w:val="single" w:sz="4" w:space="0" w:color="FFFFFF" w:themeColor="background1"/>
              <w:left w:val="nil"/>
              <w:bottom w:val="nil"/>
            </w:tcBorders>
            <w:shd w:val="clear" w:color="auto" w:fill="D9D9D9" w:themeFill="background1" w:themeFillShade="D9"/>
            <w:noWrap/>
          </w:tcPr>
          <w:p w14:paraId="53D56A8B"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$317,967</w:t>
            </w:r>
          </w:p>
        </w:tc>
      </w:tr>
      <w:tr w:rsidR="0024609D" w14:paraId="6BBC3402"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70212C36" w14:textId="77777777" w:rsidR="00161AA7" w:rsidRDefault="00197531" w:rsidP="00161AA7">
            <w:pPr>
              <w:spacing w:before="40" w:after="40" w:line="240" w:lineRule="auto"/>
              <w:rPr>
                <w:rFonts w:cs="Times New Roman"/>
                <w:szCs w:val="22"/>
              </w:rPr>
            </w:pPr>
            <w:r>
              <w:rPr>
                <w:rFonts w:cs="Times New Roman"/>
                <w:b w:val="0"/>
                <w:szCs w:val="22"/>
              </w:rPr>
              <w:t>Official Account</w:t>
            </w:r>
          </w:p>
        </w:tc>
        <w:tc>
          <w:tcPr>
            <w:tcW w:w="1452" w:type="pct"/>
            <w:tcBorders>
              <w:top w:val="nil"/>
              <w:left w:val="nil"/>
              <w:bottom w:val="nil"/>
            </w:tcBorders>
            <w:shd w:val="clear" w:color="auto" w:fill="F2F2F2" w:themeFill="background1" w:themeFillShade="F2"/>
            <w:noWrap/>
          </w:tcPr>
          <w:p w14:paraId="43A9FF84"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$62,001</w:t>
            </w:r>
          </w:p>
        </w:tc>
      </w:tr>
      <w:tr w:rsidR="0024609D" w14:paraId="5B29BDE3"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4" w:space="0" w:color="FFFFFF" w:themeColor="background1"/>
              <w:right w:val="nil"/>
            </w:tcBorders>
            <w:shd w:val="clear" w:color="auto" w:fill="D9D9D9" w:themeFill="background1" w:themeFillShade="D9"/>
            <w:noWrap/>
            <w:vAlign w:val="center"/>
          </w:tcPr>
          <w:p w14:paraId="2E240E63" w14:textId="77777777" w:rsidR="00161AA7" w:rsidRDefault="00197531" w:rsidP="00161AA7">
            <w:pPr>
              <w:spacing w:before="40" w:after="40" w:line="240" w:lineRule="auto"/>
              <w:rPr>
                <w:rFonts w:cs="Times New Roman"/>
                <w:szCs w:val="22"/>
              </w:rPr>
            </w:pPr>
            <w:r>
              <w:rPr>
                <w:rFonts w:cs="Times New Roman"/>
                <w:b w:val="0"/>
                <w:szCs w:val="22"/>
              </w:rPr>
              <w:t>Other Accounts</w:t>
            </w:r>
          </w:p>
        </w:tc>
        <w:tc>
          <w:tcPr>
            <w:tcW w:w="1452" w:type="pct"/>
            <w:tcBorders>
              <w:top w:val="nil"/>
              <w:left w:val="nil"/>
              <w:bottom w:val="single" w:sz="4" w:space="0" w:color="FFFFFF" w:themeColor="background1"/>
            </w:tcBorders>
            <w:shd w:val="clear" w:color="auto" w:fill="D9D9D9" w:themeFill="background1" w:themeFillShade="D9"/>
            <w:noWrap/>
          </w:tcPr>
          <w:p w14:paraId="3848C7E7"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05AB3C37"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hideMark/>
          </w:tcPr>
          <w:p w14:paraId="6B66868D" w14:textId="77777777" w:rsidR="00161AA7" w:rsidRDefault="00197531" w:rsidP="00161AA7">
            <w:pPr>
              <w:spacing w:before="40" w:after="40" w:line="240" w:lineRule="auto"/>
              <w:rPr>
                <w:rFonts w:cs="Times New Roman"/>
                <w:szCs w:val="22"/>
              </w:rPr>
            </w:pPr>
            <w:r>
              <w:rPr>
                <w:rFonts w:cs="Times New Roman"/>
                <w:szCs w:val="22"/>
              </w:rPr>
              <w:t>Total Funds Available</w:t>
            </w:r>
          </w:p>
        </w:tc>
        <w:tc>
          <w:tcPr>
            <w:tcW w:w="1452" w:type="pct"/>
            <w:tcBorders>
              <w:top w:val="single" w:sz="4" w:space="0" w:color="FFFFFF" w:themeColor="background1"/>
              <w:left w:val="single" w:sz="4" w:space="0" w:color="FFFFFF" w:themeColor="background1"/>
              <w:bottom w:val="nil"/>
            </w:tcBorders>
            <w:shd w:val="clear" w:color="auto" w:fill="FFC000"/>
            <w:noWrap/>
          </w:tcPr>
          <w:p w14:paraId="5744CE4D" w14:textId="77777777" w:rsidR="00161AA7" w:rsidRPr="003666F6" w:rsidRDefault="00197531"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$379,968</w:t>
            </w:r>
          </w:p>
        </w:tc>
      </w:tr>
    </w:tbl>
    <w:p w14:paraId="1531AE19" w14:textId="77777777" w:rsidR="009E6D61" w:rsidRDefault="003E51D2" w:rsidP="0003143F">
      <w:pPr>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5"/>
        <w:gridCol w:w="1798"/>
      </w:tblGrid>
      <w:tr w:rsidR="0024609D" w14:paraId="1B7C1D52" w14:textId="77777777" w:rsidTr="0024609D">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2DF0BDB0" w14:textId="77777777" w:rsidR="009E6D61" w:rsidRPr="003666F6" w:rsidRDefault="00197531">
            <w:pPr>
              <w:spacing w:before="40" w:after="40" w:line="240" w:lineRule="auto"/>
              <w:rPr>
                <w:rFonts w:cs="Times New Roman"/>
                <w:szCs w:val="22"/>
              </w:rPr>
            </w:pPr>
            <w:r w:rsidRPr="003666F6">
              <w:rPr>
                <w:rFonts w:cs="Times New Roman"/>
                <w:bCs w:val="0"/>
                <w:szCs w:val="22"/>
              </w:rPr>
              <w:t>Financial Commitments</w:t>
            </w:r>
          </w:p>
        </w:tc>
        <w:tc>
          <w:tcPr>
            <w:tcW w:w="1452" w:type="pct"/>
            <w:tcBorders>
              <w:left w:val="single" w:sz="4" w:space="0" w:color="FFFFFF" w:themeColor="background1"/>
              <w:bottom w:val="single" w:sz="4" w:space="0" w:color="FFFFFF" w:themeColor="background1"/>
            </w:tcBorders>
            <w:shd w:val="clear" w:color="auto" w:fill="FFC000"/>
            <w:vAlign w:val="center"/>
            <w:hideMark/>
          </w:tcPr>
          <w:p w14:paraId="07A9E328" w14:textId="77777777" w:rsidR="009E6D61" w:rsidRPr="003666F6" w:rsidRDefault="00197531">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3666F6">
              <w:rPr>
                <w:rFonts w:cs="Times New Roman"/>
                <w:bCs w:val="0"/>
                <w:szCs w:val="22"/>
              </w:rPr>
              <w:t>Actual</w:t>
            </w:r>
          </w:p>
        </w:tc>
      </w:tr>
      <w:tr w:rsidR="0024609D" w14:paraId="41C8B902"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nil"/>
            </w:tcBorders>
            <w:shd w:val="clear" w:color="auto" w:fill="D9D9D9" w:themeFill="background1" w:themeFillShade="D9"/>
            <w:noWrap/>
            <w:vAlign w:val="center"/>
            <w:hideMark/>
          </w:tcPr>
          <w:p w14:paraId="037D9794" w14:textId="77777777" w:rsidR="00161AA7" w:rsidRDefault="00197531" w:rsidP="00161AA7">
            <w:pPr>
              <w:spacing w:before="40" w:after="40" w:line="240" w:lineRule="auto"/>
              <w:rPr>
                <w:rFonts w:cs="Times New Roman"/>
                <w:szCs w:val="22"/>
              </w:rPr>
            </w:pPr>
            <w:r>
              <w:rPr>
                <w:rFonts w:cs="Times New Roman"/>
                <w:b w:val="0"/>
                <w:szCs w:val="22"/>
              </w:rPr>
              <w:t>Operating Reserve</w:t>
            </w:r>
          </w:p>
        </w:tc>
        <w:tc>
          <w:tcPr>
            <w:tcW w:w="1452" w:type="pct"/>
            <w:tcBorders>
              <w:top w:val="single" w:sz="4" w:space="0" w:color="FFFFFF" w:themeColor="background1"/>
              <w:left w:val="nil"/>
              <w:bottom w:val="nil"/>
            </w:tcBorders>
            <w:shd w:val="clear" w:color="auto" w:fill="D9D9D9" w:themeFill="background1" w:themeFillShade="D9"/>
            <w:noWrap/>
          </w:tcPr>
          <w:p w14:paraId="042CB281"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$53,027</w:t>
            </w:r>
          </w:p>
        </w:tc>
      </w:tr>
      <w:tr w:rsidR="0024609D" w14:paraId="21A99159"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4C6E59C4" w14:textId="77777777" w:rsidR="00161AA7" w:rsidRDefault="00197531" w:rsidP="00161AA7">
            <w:pPr>
              <w:spacing w:before="40" w:after="40" w:line="240" w:lineRule="auto"/>
              <w:rPr>
                <w:rFonts w:cs="Times New Roman"/>
                <w:szCs w:val="22"/>
              </w:rPr>
            </w:pPr>
            <w:r>
              <w:rPr>
                <w:b w:val="0"/>
                <w:lang w:val="en-US"/>
              </w:rPr>
              <w:t>Other Recurrent Expenditure</w:t>
            </w:r>
          </w:p>
        </w:tc>
        <w:tc>
          <w:tcPr>
            <w:tcW w:w="1452" w:type="pct"/>
            <w:tcBorders>
              <w:top w:val="nil"/>
              <w:left w:val="nil"/>
              <w:bottom w:val="nil"/>
            </w:tcBorders>
            <w:shd w:val="clear" w:color="auto" w:fill="F2F2F2" w:themeFill="background1" w:themeFillShade="F2"/>
            <w:noWrap/>
          </w:tcPr>
          <w:p w14:paraId="40769E74"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6EBCF07D"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0139C892" w14:textId="77777777" w:rsidR="00161AA7" w:rsidRDefault="00197531" w:rsidP="00161AA7">
            <w:pPr>
              <w:spacing w:before="40" w:after="40" w:line="240" w:lineRule="auto"/>
              <w:rPr>
                <w:rFonts w:cs="Times New Roman"/>
                <w:szCs w:val="22"/>
              </w:rPr>
            </w:pPr>
            <w:r>
              <w:rPr>
                <w:b w:val="0"/>
                <w:lang w:val="en-US"/>
              </w:rPr>
              <w:t>Provision Accounts</w:t>
            </w:r>
          </w:p>
        </w:tc>
        <w:tc>
          <w:tcPr>
            <w:tcW w:w="1452" w:type="pct"/>
            <w:tcBorders>
              <w:top w:val="nil"/>
              <w:left w:val="nil"/>
              <w:bottom w:val="nil"/>
            </w:tcBorders>
            <w:shd w:val="clear" w:color="auto" w:fill="D9D9D9" w:themeFill="background1" w:themeFillShade="D9"/>
            <w:noWrap/>
          </w:tcPr>
          <w:p w14:paraId="20D03639"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57A4F57D"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6162D133" w14:textId="77777777" w:rsidR="00161AA7" w:rsidRDefault="00197531" w:rsidP="00161AA7">
            <w:pPr>
              <w:spacing w:before="40" w:after="40" w:line="240" w:lineRule="auto"/>
              <w:rPr>
                <w:rFonts w:cs="Times New Roman"/>
                <w:szCs w:val="22"/>
              </w:rPr>
            </w:pPr>
            <w:r>
              <w:rPr>
                <w:b w:val="0"/>
                <w:lang w:val="en-US"/>
              </w:rPr>
              <w:t>Funds Received in Advance</w:t>
            </w:r>
          </w:p>
        </w:tc>
        <w:tc>
          <w:tcPr>
            <w:tcW w:w="1452" w:type="pct"/>
            <w:tcBorders>
              <w:top w:val="nil"/>
              <w:left w:val="nil"/>
              <w:bottom w:val="nil"/>
            </w:tcBorders>
            <w:shd w:val="clear" w:color="auto" w:fill="F2F2F2" w:themeFill="background1" w:themeFillShade="F2"/>
            <w:noWrap/>
          </w:tcPr>
          <w:p w14:paraId="27007569"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05CF840A"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6E6AAD06" w14:textId="77777777" w:rsidR="00161AA7" w:rsidRDefault="00197531" w:rsidP="00161AA7">
            <w:pPr>
              <w:spacing w:before="40" w:after="40" w:line="240" w:lineRule="auto"/>
              <w:rPr>
                <w:rFonts w:cs="Times New Roman"/>
                <w:szCs w:val="22"/>
              </w:rPr>
            </w:pPr>
            <w:r>
              <w:rPr>
                <w:b w:val="0"/>
                <w:lang w:val="en-US"/>
              </w:rPr>
              <w:t>School Based Programs</w:t>
            </w:r>
          </w:p>
        </w:tc>
        <w:tc>
          <w:tcPr>
            <w:tcW w:w="1452" w:type="pct"/>
            <w:tcBorders>
              <w:top w:val="nil"/>
              <w:left w:val="nil"/>
              <w:bottom w:val="nil"/>
            </w:tcBorders>
            <w:shd w:val="clear" w:color="auto" w:fill="D9D9D9" w:themeFill="background1" w:themeFillShade="D9"/>
            <w:noWrap/>
          </w:tcPr>
          <w:p w14:paraId="0D7CBF9C"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$113,000</w:t>
            </w:r>
          </w:p>
        </w:tc>
      </w:tr>
      <w:tr w:rsidR="0024609D" w14:paraId="3BE82238"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0509283D" w14:textId="77777777" w:rsidR="00161AA7" w:rsidRDefault="00197531" w:rsidP="00161AA7">
            <w:pPr>
              <w:spacing w:before="40" w:after="40" w:line="240" w:lineRule="auto"/>
              <w:rPr>
                <w:rFonts w:cs="Times New Roman"/>
                <w:szCs w:val="22"/>
              </w:rPr>
            </w:pPr>
            <w:r>
              <w:rPr>
                <w:b w:val="0"/>
                <w:lang w:val="en-US"/>
              </w:rPr>
              <w:t>Beneficiary/Memorial Accounts</w:t>
            </w:r>
          </w:p>
        </w:tc>
        <w:tc>
          <w:tcPr>
            <w:tcW w:w="1452" w:type="pct"/>
            <w:tcBorders>
              <w:top w:val="nil"/>
              <w:left w:val="nil"/>
              <w:bottom w:val="nil"/>
            </w:tcBorders>
            <w:shd w:val="clear" w:color="auto" w:fill="F2F2F2" w:themeFill="background1" w:themeFillShade="F2"/>
            <w:noWrap/>
          </w:tcPr>
          <w:p w14:paraId="4B594CE7"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2E93A586"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53759230" w14:textId="77777777" w:rsidR="00161AA7" w:rsidRDefault="00197531" w:rsidP="00161AA7">
            <w:pPr>
              <w:spacing w:before="40" w:after="40" w:line="240" w:lineRule="auto"/>
              <w:rPr>
                <w:rFonts w:cs="Times New Roman"/>
                <w:szCs w:val="22"/>
              </w:rPr>
            </w:pPr>
            <w:r>
              <w:rPr>
                <w:b w:val="0"/>
                <w:lang w:val="en-US"/>
              </w:rPr>
              <w:t>Cooperative Bank Account</w:t>
            </w:r>
          </w:p>
        </w:tc>
        <w:tc>
          <w:tcPr>
            <w:tcW w:w="1452" w:type="pct"/>
            <w:tcBorders>
              <w:top w:val="nil"/>
              <w:left w:val="nil"/>
              <w:bottom w:val="nil"/>
            </w:tcBorders>
            <w:shd w:val="clear" w:color="auto" w:fill="D9D9D9" w:themeFill="background1" w:themeFillShade="D9"/>
            <w:noWrap/>
          </w:tcPr>
          <w:p w14:paraId="60761F17"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3BF97414"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7141DC4B" w14:textId="77777777" w:rsidR="00161AA7" w:rsidRDefault="00197531" w:rsidP="00161AA7">
            <w:pPr>
              <w:spacing w:before="40" w:after="40" w:line="240" w:lineRule="auto"/>
              <w:rPr>
                <w:rFonts w:cs="Times New Roman"/>
                <w:szCs w:val="22"/>
              </w:rPr>
            </w:pPr>
            <w:r>
              <w:rPr>
                <w:b w:val="0"/>
                <w:lang w:val="en-US"/>
              </w:rPr>
              <w:t>Funds for Committees/Shared Arrangements</w:t>
            </w:r>
          </w:p>
        </w:tc>
        <w:tc>
          <w:tcPr>
            <w:tcW w:w="1452" w:type="pct"/>
            <w:tcBorders>
              <w:top w:val="nil"/>
              <w:left w:val="nil"/>
              <w:bottom w:val="nil"/>
            </w:tcBorders>
            <w:shd w:val="clear" w:color="auto" w:fill="F2F2F2" w:themeFill="background1" w:themeFillShade="F2"/>
            <w:noWrap/>
          </w:tcPr>
          <w:p w14:paraId="06AD288E"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2302A270"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6BE6E859" w14:textId="77777777" w:rsidR="00161AA7" w:rsidRDefault="00197531" w:rsidP="00161AA7">
            <w:pPr>
              <w:spacing w:before="40" w:after="40" w:line="240" w:lineRule="auto"/>
              <w:rPr>
                <w:rFonts w:cs="Times New Roman"/>
                <w:szCs w:val="22"/>
              </w:rPr>
            </w:pPr>
            <w:r>
              <w:rPr>
                <w:b w:val="0"/>
                <w:lang w:val="en-US"/>
              </w:rPr>
              <w:t>Repayable to the Department</w:t>
            </w:r>
          </w:p>
        </w:tc>
        <w:tc>
          <w:tcPr>
            <w:tcW w:w="1452" w:type="pct"/>
            <w:tcBorders>
              <w:top w:val="nil"/>
              <w:left w:val="nil"/>
              <w:bottom w:val="nil"/>
            </w:tcBorders>
            <w:shd w:val="clear" w:color="auto" w:fill="D9D9D9" w:themeFill="background1" w:themeFillShade="D9"/>
            <w:noWrap/>
          </w:tcPr>
          <w:p w14:paraId="146C8A4F"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7414061E"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371E5CD5" w14:textId="77777777" w:rsidR="00161AA7" w:rsidRDefault="00197531" w:rsidP="00161AA7">
            <w:pPr>
              <w:spacing w:before="40" w:after="40" w:line="240" w:lineRule="auto"/>
              <w:rPr>
                <w:rFonts w:cs="Times New Roman"/>
                <w:szCs w:val="22"/>
              </w:rPr>
            </w:pPr>
            <w:r>
              <w:rPr>
                <w:b w:val="0"/>
                <w:lang w:val="en-US"/>
              </w:rPr>
              <w:t>Asset/Equipment Replacement &lt; 12 months</w:t>
            </w:r>
          </w:p>
        </w:tc>
        <w:tc>
          <w:tcPr>
            <w:tcW w:w="1452" w:type="pct"/>
            <w:tcBorders>
              <w:top w:val="nil"/>
              <w:left w:val="nil"/>
              <w:bottom w:val="nil"/>
            </w:tcBorders>
            <w:shd w:val="clear" w:color="auto" w:fill="F2F2F2" w:themeFill="background1" w:themeFillShade="F2"/>
            <w:noWrap/>
          </w:tcPr>
          <w:p w14:paraId="22DC2F6C"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$84,000</w:t>
            </w:r>
          </w:p>
        </w:tc>
      </w:tr>
      <w:tr w:rsidR="0024609D" w14:paraId="11D4B46F"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3F3B9C78" w14:textId="77777777" w:rsidR="00161AA7" w:rsidRDefault="00197531" w:rsidP="00161AA7">
            <w:pPr>
              <w:spacing w:before="40" w:after="40" w:line="240" w:lineRule="auto"/>
              <w:rPr>
                <w:rFonts w:cs="Times New Roman"/>
                <w:szCs w:val="22"/>
              </w:rPr>
            </w:pPr>
            <w:r>
              <w:rPr>
                <w:b w:val="0"/>
                <w:lang w:val="en-US"/>
              </w:rPr>
              <w:t>Capital - Buildings/Grounds &lt; 12 months</w:t>
            </w:r>
          </w:p>
        </w:tc>
        <w:tc>
          <w:tcPr>
            <w:tcW w:w="1452" w:type="pct"/>
            <w:tcBorders>
              <w:top w:val="nil"/>
              <w:left w:val="nil"/>
              <w:bottom w:val="nil"/>
            </w:tcBorders>
            <w:shd w:val="clear" w:color="auto" w:fill="D9D9D9" w:themeFill="background1" w:themeFillShade="D9"/>
            <w:noWrap/>
          </w:tcPr>
          <w:p w14:paraId="6CEE6CE6"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3A592037"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281AC9FC" w14:textId="77777777" w:rsidR="00161AA7" w:rsidRDefault="00197531" w:rsidP="00161AA7">
            <w:pPr>
              <w:spacing w:before="40" w:after="40" w:line="240" w:lineRule="auto"/>
              <w:rPr>
                <w:rFonts w:cs="Times New Roman"/>
                <w:szCs w:val="22"/>
              </w:rPr>
            </w:pPr>
            <w:r>
              <w:rPr>
                <w:b w:val="0"/>
                <w:lang w:val="en-US"/>
              </w:rPr>
              <w:t>Maintenance - Buildings/Grounds &lt; 12 months</w:t>
            </w:r>
          </w:p>
        </w:tc>
        <w:tc>
          <w:tcPr>
            <w:tcW w:w="1452" w:type="pct"/>
            <w:tcBorders>
              <w:top w:val="nil"/>
              <w:left w:val="nil"/>
              <w:bottom w:val="nil"/>
            </w:tcBorders>
            <w:shd w:val="clear" w:color="auto" w:fill="F2F2F2" w:themeFill="background1" w:themeFillShade="F2"/>
            <w:noWrap/>
          </w:tcPr>
          <w:p w14:paraId="26C3A336"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$179,762</w:t>
            </w:r>
          </w:p>
        </w:tc>
      </w:tr>
      <w:tr w:rsidR="0024609D" w14:paraId="0B2AF796"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D9D9D9" w:themeFill="background1" w:themeFillShade="D9"/>
            <w:noWrap/>
          </w:tcPr>
          <w:p w14:paraId="0835B068" w14:textId="77777777" w:rsidR="00161AA7" w:rsidRDefault="00197531" w:rsidP="00161AA7">
            <w:pPr>
              <w:spacing w:before="40" w:after="40" w:line="240" w:lineRule="auto"/>
              <w:rPr>
                <w:rFonts w:cs="Times New Roman"/>
                <w:szCs w:val="22"/>
              </w:rPr>
            </w:pPr>
            <w:r>
              <w:rPr>
                <w:b w:val="0"/>
                <w:lang w:val="en-US"/>
              </w:rPr>
              <w:t>Asset/Equipment Replacement &gt; 12 months</w:t>
            </w:r>
          </w:p>
        </w:tc>
        <w:tc>
          <w:tcPr>
            <w:tcW w:w="1452" w:type="pct"/>
            <w:tcBorders>
              <w:top w:val="nil"/>
              <w:left w:val="nil"/>
              <w:bottom w:val="nil"/>
            </w:tcBorders>
            <w:shd w:val="clear" w:color="auto" w:fill="D9D9D9" w:themeFill="background1" w:themeFillShade="D9"/>
            <w:noWrap/>
          </w:tcPr>
          <w:p w14:paraId="0EBD31C4"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2D457AAF"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tcPr>
          <w:p w14:paraId="0A68DEA2" w14:textId="77777777" w:rsidR="00161AA7" w:rsidRDefault="00197531" w:rsidP="00161AA7">
            <w:pPr>
              <w:spacing w:before="40" w:after="40" w:line="240" w:lineRule="auto"/>
              <w:rPr>
                <w:rFonts w:cs="Times New Roman"/>
                <w:szCs w:val="22"/>
              </w:rPr>
            </w:pPr>
            <w:r>
              <w:rPr>
                <w:b w:val="0"/>
                <w:lang w:val="en-US"/>
              </w:rPr>
              <w:t>Capital - Buildings/Grounds &gt; 12 months</w:t>
            </w:r>
          </w:p>
        </w:tc>
        <w:tc>
          <w:tcPr>
            <w:tcW w:w="1452" w:type="pct"/>
            <w:tcBorders>
              <w:top w:val="nil"/>
              <w:left w:val="nil"/>
              <w:bottom w:val="nil"/>
            </w:tcBorders>
            <w:shd w:val="clear" w:color="auto" w:fill="F2F2F2" w:themeFill="background1" w:themeFillShade="F2"/>
            <w:noWrap/>
          </w:tcPr>
          <w:p w14:paraId="7431959C" w14:textId="77777777" w:rsidR="00161AA7" w:rsidRDefault="00197531" w:rsidP="00161AA7">
            <w:pPr>
              <w:jc w:val="right"/>
              <w:cnfStyle w:val="000000000000" w:firstRow="0" w:lastRow="0" w:firstColumn="0" w:lastColumn="0" w:oddVBand="0" w:evenVBand="0" w:oddHBand="0" w:evenHBand="0" w:firstRowFirstColumn="0" w:firstRowLastColumn="0" w:lastRowFirstColumn="0" w:lastRowLastColumn="0"/>
            </w:pPr>
            <w:r>
              <w:t>$0</w:t>
            </w:r>
          </w:p>
        </w:tc>
      </w:tr>
      <w:tr w:rsidR="0024609D" w14:paraId="43481B66" w14:textId="77777777" w:rsidTr="0024609D">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4" w:space="0" w:color="FFFFFF" w:themeColor="background1"/>
              <w:right w:val="nil"/>
            </w:tcBorders>
            <w:shd w:val="clear" w:color="auto" w:fill="D9D9D9" w:themeFill="background1" w:themeFillShade="D9"/>
            <w:noWrap/>
          </w:tcPr>
          <w:p w14:paraId="5D804C89" w14:textId="77777777" w:rsidR="00161AA7" w:rsidRDefault="00197531" w:rsidP="00161AA7">
            <w:pPr>
              <w:spacing w:before="40" w:after="40" w:line="240" w:lineRule="auto"/>
              <w:rPr>
                <w:rFonts w:cs="Times New Roman"/>
                <w:szCs w:val="22"/>
              </w:rPr>
            </w:pPr>
            <w:r>
              <w:rPr>
                <w:b w:val="0"/>
                <w:lang w:val="en-US"/>
              </w:rPr>
              <w:t>Maintenance - Buildings/Grounds &gt; 12 months</w:t>
            </w:r>
          </w:p>
        </w:tc>
        <w:tc>
          <w:tcPr>
            <w:tcW w:w="1452" w:type="pct"/>
            <w:tcBorders>
              <w:top w:val="nil"/>
              <w:left w:val="nil"/>
              <w:bottom w:val="single" w:sz="4" w:space="0" w:color="FFFFFF" w:themeColor="background1"/>
            </w:tcBorders>
            <w:shd w:val="clear" w:color="auto" w:fill="D9D9D9" w:themeFill="background1" w:themeFillShade="D9"/>
            <w:noWrap/>
          </w:tcPr>
          <w:p w14:paraId="1E05101E" w14:textId="77777777" w:rsidR="00161AA7" w:rsidRDefault="00197531" w:rsidP="00161AA7">
            <w:pPr>
              <w:jc w:val="right"/>
              <w:cnfStyle w:val="000000100000" w:firstRow="0" w:lastRow="0" w:firstColumn="0" w:lastColumn="0" w:oddVBand="0" w:evenVBand="0" w:oddHBand="1" w:evenHBand="0" w:firstRowFirstColumn="0" w:firstRowLastColumn="0" w:lastRowFirstColumn="0" w:lastRowLastColumn="0"/>
            </w:pPr>
            <w:r>
              <w:t>$0</w:t>
            </w:r>
          </w:p>
        </w:tc>
      </w:tr>
      <w:tr w:rsidR="0024609D" w14:paraId="2B20EB33" w14:textId="77777777" w:rsidTr="0024609D">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4" w:space="0" w:color="FFFFFF" w:themeColor="background1"/>
              <w:bottom w:val="nil"/>
              <w:right w:val="single" w:sz="4" w:space="0" w:color="FFFFFF" w:themeColor="background1"/>
            </w:tcBorders>
            <w:shd w:val="clear" w:color="auto" w:fill="A6A6A6" w:themeFill="background1" w:themeFillShade="A6"/>
            <w:noWrap/>
            <w:vAlign w:val="center"/>
            <w:hideMark/>
          </w:tcPr>
          <w:p w14:paraId="4050035A" w14:textId="77777777" w:rsidR="00161AA7" w:rsidRDefault="00197531" w:rsidP="00161AA7">
            <w:pPr>
              <w:spacing w:before="40" w:after="40" w:line="240" w:lineRule="auto"/>
              <w:rPr>
                <w:rFonts w:cs="Times New Roman"/>
                <w:szCs w:val="22"/>
              </w:rPr>
            </w:pPr>
            <w:r>
              <w:rPr>
                <w:rFonts w:cs="Times New Roman"/>
                <w:szCs w:val="22"/>
              </w:rPr>
              <w:t>Total Financial Commitments</w:t>
            </w:r>
          </w:p>
        </w:tc>
        <w:tc>
          <w:tcPr>
            <w:tcW w:w="1452" w:type="pct"/>
            <w:tcBorders>
              <w:top w:val="single" w:sz="4" w:space="0" w:color="FFFFFF" w:themeColor="background1"/>
              <w:left w:val="single" w:sz="4" w:space="0" w:color="FFFFFF" w:themeColor="background1"/>
              <w:bottom w:val="nil"/>
            </w:tcBorders>
            <w:shd w:val="clear" w:color="auto" w:fill="FFC000"/>
            <w:noWrap/>
          </w:tcPr>
          <w:p w14:paraId="589D71BB" w14:textId="77777777" w:rsidR="00161AA7" w:rsidRPr="003666F6" w:rsidRDefault="00197531" w:rsidP="00161AA7">
            <w:pPr>
              <w:jc w:val="right"/>
              <w:cnfStyle w:val="000000000000" w:firstRow="0" w:lastRow="0" w:firstColumn="0" w:lastColumn="0" w:oddVBand="0" w:evenVBand="0" w:oddHBand="0" w:evenHBand="0" w:firstRowFirstColumn="0" w:firstRowLastColumn="0" w:lastRowFirstColumn="0" w:lastRowLastColumn="0"/>
              <w:rPr>
                <w:b/>
                <w:bCs/>
              </w:rPr>
            </w:pPr>
            <w:r>
              <w:rPr>
                <w:b/>
                <w:bCs/>
              </w:rPr>
              <w:t>$429,789</w:t>
            </w:r>
          </w:p>
        </w:tc>
      </w:tr>
    </w:tbl>
    <w:p w14:paraId="28EBDC52" w14:textId="77777777" w:rsidR="009E6D61" w:rsidRDefault="003E51D2">
      <w:pPr>
        <w:pStyle w:val="ESBodyText0"/>
      </w:pPr>
    </w:p>
    <w:p w14:paraId="7B6FF2A1" w14:textId="77777777" w:rsidR="009E6D61" w:rsidRDefault="00197531">
      <w:pPr>
        <w:pStyle w:val="ESBodyText0"/>
        <w:rPr>
          <w:i/>
        </w:rPr>
      </w:pPr>
      <w:r>
        <w:rPr>
          <w:i/>
        </w:rPr>
        <w:t>All funds received from the Department,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sectPr w:rsidR="009E6D61" w:rsidSect="004C5FBF">
      <w:headerReference w:type="default" r:id="rId33"/>
      <w:footerReference w:type="default" r:id="rId34"/>
      <w:headerReference w:type="first" r:id="rId35"/>
      <w:type w:val="continuous"/>
      <w:pgSz w:w="11900" w:h="16840"/>
      <w:pgMar w:top="1276" w:right="567" w:bottom="709" w:left="567" w:header="142" w:footer="32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FFFE" w14:textId="77777777" w:rsidR="00EE77EB" w:rsidRDefault="00197531">
      <w:pPr>
        <w:spacing w:after="0" w:line="240" w:lineRule="auto"/>
      </w:pPr>
      <w:r>
        <w:separator/>
      </w:r>
    </w:p>
  </w:endnote>
  <w:endnote w:type="continuationSeparator" w:id="0">
    <w:p w14:paraId="11DCE5BD" w14:textId="77777777" w:rsidR="00EE77EB" w:rsidRDefault="0019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4FA4" w14:textId="77777777" w:rsidR="00A66941" w:rsidRDefault="00197531"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3E51D2">
      <w:rPr>
        <w:rStyle w:val="PageNumber"/>
      </w:rPr>
      <w:fldChar w:fldCharType="separate"/>
    </w:r>
    <w:r>
      <w:rPr>
        <w:rStyle w:val="PageNumber"/>
      </w:rPr>
      <w:fldChar w:fldCharType="end"/>
    </w:r>
  </w:p>
  <w:p w14:paraId="35D730E7" w14:textId="77777777" w:rsidR="00A66941" w:rsidRDefault="003E51D2"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FFD4" w14:textId="77777777" w:rsidR="00A66941" w:rsidRPr="003E29B5" w:rsidRDefault="00197531" w:rsidP="00B076DB">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645245"/>
      <w:docPartObj>
        <w:docPartGallery w:val="Page Numbers (Bottom of Page)"/>
        <w:docPartUnique/>
      </w:docPartObj>
    </w:sdtPr>
    <w:sdtEndPr>
      <w:rPr>
        <w:noProof/>
      </w:rPr>
    </w:sdtEndPr>
    <w:sdtContent>
      <w:p w14:paraId="77B8EB3D" w14:textId="77777777" w:rsidR="00F04D52" w:rsidRDefault="00197531">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03503"/>
      <w:docPartObj>
        <w:docPartGallery w:val="Page Numbers (Bottom of Page)"/>
        <w:docPartUnique/>
      </w:docPartObj>
    </w:sdtPr>
    <w:sdtEndPr>
      <w:rPr>
        <w:noProof/>
      </w:rPr>
    </w:sdtEndPr>
    <w:sdtContent>
      <w:p w14:paraId="6016B6A2" w14:textId="77777777" w:rsidR="00F04D52" w:rsidRDefault="00197531">
        <w:pPr>
          <w:pStyle w:val="Footer0"/>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376672"/>
      <w:docPartObj>
        <w:docPartGallery w:val="Page Numbers (Bottom of Page)"/>
        <w:docPartUnique/>
      </w:docPartObj>
    </w:sdtPr>
    <w:sdtEndPr>
      <w:rPr>
        <w:noProof/>
      </w:rPr>
    </w:sdtEndPr>
    <w:sdtContent>
      <w:p w14:paraId="2812E211" w14:textId="77777777" w:rsidR="00F04D52" w:rsidRDefault="00197531">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B225A" w14:textId="77777777" w:rsidR="00EE77EB" w:rsidRDefault="00197531">
      <w:pPr>
        <w:spacing w:after="0" w:line="240" w:lineRule="auto"/>
      </w:pPr>
      <w:r>
        <w:separator/>
      </w:r>
    </w:p>
  </w:footnote>
  <w:footnote w:type="continuationSeparator" w:id="0">
    <w:p w14:paraId="0A152D74" w14:textId="77777777" w:rsidR="00EE77EB" w:rsidRDefault="00197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FF08" w14:textId="77777777" w:rsidR="00A66941" w:rsidRDefault="00197531">
    <w:r>
      <w:rPr>
        <w:noProof/>
        <w:lang w:val="en-AU" w:eastAsia="en-AU"/>
      </w:rPr>
      <mc:AlternateContent>
        <mc:Choice Requires="wps">
          <w:drawing>
            <wp:anchor distT="0" distB="0" distL="114300" distR="114300" simplePos="0" relativeHeight="251660288" behindDoc="0" locked="0" layoutInCell="1" allowOverlap="1" wp14:anchorId="3B70878F" wp14:editId="670D59FB">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5919490" w14:textId="77777777" w:rsidR="00A66941" w:rsidRDefault="00197531"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B70878F"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05919490" w14:textId="77777777" w:rsidR="00A66941" w:rsidRDefault="00197531"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1CD6" w14:textId="77777777" w:rsidR="00A66941" w:rsidRDefault="00197531">
    <w:pPr>
      <w:pStyle w:val="Header"/>
    </w:pPr>
    <w:r w:rsidRPr="000C104E">
      <w:rPr>
        <w:noProof/>
        <w:lang w:val="en-AU" w:eastAsia="en-AU"/>
      </w:rPr>
      <w:drawing>
        <wp:anchor distT="0" distB="0" distL="114300" distR="114300" simplePos="0" relativeHeight="251662336" behindDoc="1" locked="0" layoutInCell="1" allowOverlap="1" wp14:anchorId="0641D4A5" wp14:editId="268764FB">
          <wp:simplePos x="0" y="0"/>
          <wp:positionH relativeFrom="column">
            <wp:posOffset>7883858</wp:posOffset>
          </wp:positionH>
          <wp:positionV relativeFrom="paragraph">
            <wp:posOffset>-378460</wp:posOffset>
          </wp:positionV>
          <wp:extent cx="1991003" cy="74305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3556F6D7" w14:textId="77777777" w:rsidR="00A66941" w:rsidRDefault="003E51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E83C" w14:textId="77777777" w:rsidR="00A66941" w:rsidRDefault="00197531">
    <w:r>
      <w:rPr>
        <w:noProof/>
        <w:lang w:val="en-AU" w:eastAsia="en-AU"/>
      </w:rPr>
      <mc:AlternateContent>
        <mc:Choice Requires="wps">
          <w:drawing>
            <wp:anchor distT="0" distB="0" distL="114300" distR="114300" simplePos="0" relativeHeight="251658240" behindDoc="0" locked="0" layoutInCell="1" allowOverlap="1" wp14:anchorId="3339BD03" wp14:editId="4914EF09">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0A92DDA" w14:textId="77777777" w:rsidR="00A66941" w:rsidRDefault="00197531"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339BD03"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50A92DDA" w14:textId="77777777" w:rsidR="00A66941" w:rsidRDefault="00197531"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44AE" w14:textId="77777777" w:rsidR="00F04D52" w:rsidRDefault="00197531">
    <w:pPr>
      <w:pStyle w:val="Header"/>
      <w:spacing w:before="240"/>
    </w:pPr>
    <w:r>
      <w:rPr>
        <w:noProof/>
        <w:lang w:val="en-AU" w:eastAsia="en-AU"/>
      </w:rPr>
      <w:drawing>
        <wp:inline distT="0" distB="0" distL="0" distR="0" wp14:anchorId="43230908" wp14:editId="321E4CCD">
          <wp:extent cx="1471910" cy="512445"/>
          <wp:effectExtent l="0" t="0" r="0" b="1905"/>
          <wp:docPr id="29" name="img3.jpg" descr="Victorian State Government Education and Training logo"/>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74060" cy="548008"/>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Hampden Specialist School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B09E" w14:textId="77777777" w:rsidR="00F04D52" w:rsidRDefault="00197531">
    <w:pPr>
      <w:pStyle w:val="Header"/>
      <w:ind w:left="-993"/>
    </w:pPr>
    <w:r>
      <w:ptab w:relativeTo="margin" w:alignment="left" w:leader="none"/>
    </w:r>
  </w:p>
  <w:p w14:paraId="497D51B3" w14:textId="77777777" w:rsidR="00F04D52" w:rsidRDefault="003E51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F98D" w14:textId="77777777" w:rsidR="00F04D52" w:rsidRDefault="00197531">
    <w:pPr>
      <w:pStyle w:val="Header0"/>
      <w:spacing w:before="240"/>
    </w:pPr>
    <w:r>
      <w:rPr>
        <w:noProof/>
        <w:lang w:val="en-AU" w:eastAsia="en-AU"/>
      </w:rPr>
      <w:drawing>
        <wp:inline distT="0" distB="0" distL="0" distR="0" wp14:anchorId="4F752698" wp14:editId="5C56720E">
          <wp:extent cx="1471910" cy="512445"/>
          <wp:effectExtent l="0" t="0" r="0" b="1905"/>
          <wp:docPr id="1140568047" name="img3.jpg" descr="Victorian State Government Education and Training logo"/>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74060" cy="548008"/>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Hampden Specialist School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87FC" w14:textId="77777777" w:rsidR="00F04D52" w:rsidRDefault="00197531">
    <w:pPr>
      <w:pStyle w:val="Header1"/>
      <w:ind w:left="-993"/>
    </w:pPr>
    <w:r>
      <w:ptab w:relativeTo="margin" w:alignment="left" w:leader="none"/>
    </w:r>
  </w:p>
  <w:p w14:paraId="4390C442" w14:textId="77777777" w:rsidR="00F04D52" w:rsidRDefault="003E51D2">
    <w:pPr>
      <w:pStyle w:val="Header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98CC" w14:textId="77777777" w:rsidR="00F04D52" w:rsidRDefault="00197531">
    <w:pPr>
      <w:pStyle w:val="Header"/>
      <w:spacing w:before="240"/>
    </w:pPr>
    <w:r>
      <w:rPr>
        <w:noProof/>
        <w:lang w:val="en-AU" w:eastAsia="en-AU"/>
      </w:rPr>
      <w:drawing>
        <wp:inline distT="0" distB="0" distL="0" distR="0" wp14:anchorId="7B625EF2" wp14:editId="07E15E48">
          <wp:extent cx="1471910" cy="512445"/>
          <wp:effectExtent l="0" t="0" r="0" b="1905"/>
          <wp:docPr id="1564465586" name="img3.jpg" descr="Victorian State Government Education and Training logo"/>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74060" cy="548008"/>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Hampden Specialist School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D02B" w14:textId="77777777" w:rsidR="00F04D52" w:rsidRDefault="00197531">
    <w:pPr>
      <w:pStyle w:val="Header"/>
      <w:ind w:left="-993"/>
    </w:pPr>
    <w:r>
      <w:ptab w:relativeTo="margin" w:alignment="left" w:leader="none"/>
    </w:r>
  </w:p>
  <w:p w14:paraId="266CE25B" w14:textId="77777777" w:rsidR="00F04D52" w:rsidRDefault="003E5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697C3176">
      <w:start w:val="1"/>
      <w:numFmt w:val="bullet"/>
      <w:lvlText w:val=""/>
      <w:lvlJc w:val="left"/>
      <w:pPr>
        <w:ind w:left="720" w:hanging="360"/>
      </w:pPr>
      <w:rPr>
        <w:rFonts w:ascii="Symbol" w:hAnsi="Symbol" w:hint="default"/>
      </w:rPr>
    </w:lvl>
    <w:lvl w:ilvl="1" w:tplc="FE38367E" w:tentative="1">
      <w:start w:val="1"/>
      <w:numFmt w:val="bullet"/>
      <w:lvlText w:val="o"/>
      <w:lvlJc w:val="left"/>
      <w:pPr>
        <w:ind w:left="1440" w:hanging="360"/>
      </w:pPr>
      <w:rPr>
        <w:rFonts w:ascii="Courier New" w:hAnsi="Courier New" w:cs="Courier New" w:hint="default"/>
      </w:rPr>
    </w:lvl>
    <w:lvl w:ilvl="2" w:tplc="D4960AB4" w:tentative="1">
      <w:start w:val="1"/>
      <w:numFmt w:val="bullet"/>
      <w:lvlText w:val=""/>
      <w:lvlJc w:val="left"/>
      <w:pPr>
        <w:ind w:left="2160" w:hanging="360"/>
      </w:pPr>
      <w:rPr>
        <w:rFonts w:ascii="Wingdings" w:hAnsi="Wingdings" w:hint="default"/>
      </w:rPr>
    </w:lvl>
    <w:lvl w:ilvl="3" w:tplc="0DF4C92E" w:tentative="1">
      <w:start w:val="1"/>
      <w:numFmt w:val="bullet"/>
      <w:lvlText w:val=""/>
      <w:lvlJc w:val="left"/>
      <w:pPr>
        <w:ind w:left="2880" w:hanging="360"/>
      </w:pPr>
      <w:rPr>
        <w:rFonts w:ascii="Symbol" w:hAnsi="Symbol" w:hint="default"/>
      </w:rPr>
    </w:lvl>
    <w:lvl w:ilvl="4" w:tplc="7E68B88A" w:tentative="1">
      <w:start w:val="1"/>
      <w:numFmt w:val="bullet"/>
      <w:lvlText w:val="o"/>
      <w:lvlJc w:val="left"/>
      <w:pPr>
        <w:ind w:left="3600" w:hanging="360"/>
      </w:pPr>
      <w:rPr>
        <w:rFonts w:ascii="Courier New" w:hAnsi="Courier New" w:cs="Courier New" w:hint="default"/>
      </w:rPr>
    </w:lvl>
    <w:lvl w:ilvl="5" w:tplc="00A8ADD6" w:tentative="1">
      <w:start w:val="1"/>
      <w:numFmt w:val="bullet"/>
      <w:lvlText w:val=""/>
      <w:lvlJc w:val="left"/>
      <w:pPr>
        <w:ind w:left="4320" w:hanging="360"/>
      </w:pPr>
      <w:rPr>
        <w:rFonts w:ascii="Wingdings" w:hAnsi="Wingdings" w:hint="default"/>
      </w:rPr>
    </w:lvl>
    <w:lvl w:ilvl="6" w:tplc="67104F1A" w:tentative="1">
      <w:start w:val="1"/>
      <w:numFmt w:val="bullet"/>
      <w:lvlText w:val=""/>
      <w:lvlJc w:val="left"/>
      <w:pPr>
        <w:ind w:left="5040" w:hanging="360"/>
      </w:pPr>
      <w:rPr>
        <w:rFonts w:ascii="Symbol" w:hAnsi="Symbol" w:hint="default"/>
      </w:rPr>
    </w:lvl>
    <w:lvl w:ilvl="7" w:tplc="0BDC5FCC" w:tentative="1">
      <w:start w:val="1"/>
      <w:numFmt w:val="bullet"/>
      <w:lvlText w:val="o"/>
      <w:lvlJc w:val="left"/>
      <w:pPr>
        <w:ind w:left="5760" w:hanging="360"/>
      </w:pPr>
      <w:rPr>
        <w:rFonts w:ascii="Courier New" w:hAnsi="Courier New" w:cs="Courier New" w:hint="default"/>
      </w:rPr>
    </w:lvl>
    <w:lvl w:ilvl="8" w:tplc="79F63D9A"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5702BE"/>
    <w:multiLevelType w:val="hybridMultilevel"/>
    <w:tmpl w:val="D91CCB04"/>
    <w:lvl w:ilvl="0" w:tplc="69AEC5D0">
      <w:start w:val="1"/>
      <w:numFmt w:val="bullet"/>
      <w:lvlText w:val=""/>
      <w:lvlJc w:val="left"/>
      <w:pPr>
        <w:ind w:left="720" w:hanging="360"/>
      </w:pPr>
      <w:rPr>
        <w:rFonts w:ascii="Symbol" w:hAnsi="Symbol" w:hint="default"/>
      </w:rPr>
    </w:lvl>
    <w:lvl w:ilvl="1" w:tplc="41D622EE" w:tentative="1">
      <w:start w:val="1"/>
      <w:numFmt w:val="bullet"/>
      <w:lvlText w:val="o"/>
      <w:lvlJc w:val="left"/>
      <w:pPr>
        <w:ind w:left="1440" w:hanging="360"/>
      </w:pPr>
      <w:rPr>
        <w:rFonts w:ascii="Courier New" w:hAnsi="Courier New" w:cs="Courier New" w:hint="default"/>
      </w:rPr>
    </w:lvl>
    <w:lvl w:ilvl="2" w:tplc="4C2EE55A" w:tentative="1">
      <w:start w:val="1"/>
      <w:numFmt w:val="bullet"/>
      <w:lvlText w:val=""/>
      <w:lvlJc w:val="left"/>
      <w:pPr>
        <w:ind w:left="2160" w:hanging="360"/>
      </w:pPr>
      <w:rPr>
        <w:rFonts w:ascii="Wingdings" w:hAnsi="Wingdings" w:hint="default"/>
      </w:rPr>
    </w:lvl>
    <w:lvl w:ilvl="3" w:tplc="52C25E56" w:tentative="1">
      <w:start w:val="1"/>
      <w:numFmt w:val="bullet"/>
      <w:lvlText w:val=""/>
      <w:lvlJc w:val="left"/>
      <w:pPr>
        <w:ind w:left="2880" w:hanging="360"/>
      </w:pPr>
      <w:rPr>
        <w:rFonts w:ascii="Symbol" w:hAnsi="Symbol" w:hint="default"/>
      </w:rPr>
    </w:lvl>
    <w:lvl w:ilvl="4" w:tplc="A6B4F53E" w:tentative="1">
      <w:start w:val="1"/>
      <w:numFmt w:val="bullet"/>
      <w:lvlText w:val="o"/>
      <w:lvlJc w:val="left"/>
      <w:pPr>
        <w:ind w:left="3600" w:hanging="360"/>
      </w:pPr>
      <w:rPr>
        <w:rFonts w:ascii="Courier New" w:hAnsi="Courier New" w:cs="Courier New" w:hint="default"/>
      </w:rPr>
    </w:lvl>
    <w:lvl w:ilvl="5" w:tplc="118A29B8" w:tentative="1">
      <w:start w:val="1"/>
      <w:numFmt w:val="bullet"/>
      <w:lvlText w:val=""/>
      <w:lvlJc w:val="left"/>
      <w:pPr>
        <w:ind w:left="4320" w:hanging="360"/>
      </w:pPr>
      <w:rPr>
        <w:rFonts w:ascii="Wingdings" w:hAnsi="Wingdings" w:hint="default"/>
      </w:rPr>
    </w:lvl>
    <w:lvl w:ilvl="6" w:tplc="0478EA82" w:tentative="1">
      <w:start w:val="1"/>
      <w:numFmt w:val="bullet"/>
      <w:lvlText w:val=""/>
      <w:lvlJc w:val="left"/>
      <w:pPr>
        <w:ind w:left="5040" w:hanging="360"/>
      </w:pPr>
      <w:rPr>
        <w:rFonts w:ascii="Symbol" w:hAnsi="Symbol" w:hint="default"/>
      </w:rPr>
    </w:lvl>
    <w:lvl w:ilvl="7" w:tplc="3CC60A6A" w:tentative="1">
      <w:start w:val="1"/>
      <w:numFmt w:val="bullet"/>
      <w:lvlText w:val="o"/>
      <w:lvlJc w:val="left"/>
      <w:pPr>
        <w:ind w:left="5760" w:hanging="360"/>
      </w:pPr>
      <w:rPr>
        <w:rFonts w:ascii="Courier New" w:hAnsi="Courier New" w:cs="Courier New" w:hint="default"/>
      </w:rPr>
    </w:lvl>
    <w:lvl w:ilvl="8" w:tplc="BF884F78" w:tentative="1">
      <w:start w:val="1"/>
      <w:numFmt w:val="bullet"/>
      <w:lvlText w:val=""/>
      <w:lvlJc w:val="left"/>
      <w:pPr>
        <w:ind w:left="6480" w:hanging="360"/>
      </w:pPr>
      <w:rPr>
        <w:rFonts w:ascii="Wingdings" w:hAnsi="Wingdings" w:hint="default"/>
      </w:rPr>
    </w:lvl>
  </w:abstractNum>
  <w:abstractNum w:abstractNumId="16" w15:restartNumberingAfterBreak="0">
    <w:nsid w:val="3960527E"/>
    <w:multiLevelType w:val="hybridMultilevel"/>
    <w:tmpl w:val="97505B86"/>
    <w:lvl w:ilvl="0" w:tplc="F1E44BBC">
      <w:start w:val="1"/>
      <w:numFmt w:val="bullet"/>
      <w:pStyle w:val="ESBulletsinTable"/>
      <w:lvlText w:val=""/>
      <w:lvlJc w:val="left"/>
      <w:pPr>
        <w:ind w:left="360" w:hanging="360"/>
      </w:pPr>
      <w:rPr>
        <w:rFonts w:ascii="Symbol" w:hAnsi="Symbol" w:hint="default"/>
        <w:color w:val="AF272F"/>
      </w:rPr>
    </w:lvl>
    <w:lvl w:ilvl="1" w:tplc="C6008510">
      <w:start w:val="1"/>
      <w:numFmt w:val="bullet"/>
      <w:pStyle w:val="ESBulletsinTableLevel2"/>
      <w:lvlText w:val="o"/>
      <w:lvlJc w:val="left"/>
      <w:pPr>
        <w:ind w:left="1440" w:hanging="360"/>
      </w:pPr>
      <w:rPr>
        <w:rFonts w:ascii="Courier New" w:hAnsi="Courier New" w:cs="Courier New" w:hint="default"/>
      </w:rPr>
    </w:lvl>
    <w:lvl w:ilvl="2" w:tplc="44A4C584" w:tentative="1">
      <w:start w:val="1"/>
      <w:numFmt w:val="bullet"/>
      <w:lvlText w:val=""/>
      <w:lvlJc w:val="left"/>
      <w:pPr>
        <w:ind w:left="2160" w:hanging="360"/>
      </w:pPr>
      <w:rPr>
        <w:rFonts w:ascii="Wingdings" w:hAnsi="Wingdings" w:hint="default"/>
      </w:rPr>
    </w:lvl>
    <w:lvl w:ilvl="3" w:tplc="059CA4AE" w:tentative="1">
      <w:start w:val="1"/>
      <w:numFmt w:val="bullet"/>
      <w:lvlText w:val=""/>
      <w:lvlJc w:val="left"/>
      <w:pPr>
        <w:ind w:left="2880" w:hanging="360"/>
      </w:pPr>
      <w:rPr>
        <w:rFonts w:ascii="Symbol" w:hAnsi="Symbol" w:hint="default"/>
      </w:rPr>
    </w:lvl>
    <w:lvl w:ilvl="4" w:tplc="17E8805C" w:tentative="1">
      <w:start w:val="1"/>
      <w:numFmt w:val="bullet"/>
      <w:lvlText w:val="o"/>
      <w:lvlJc w:val="left"/>
      <w:pPr>
        <w:ind w:left="3600" w:hanging="360"/>
      </w:pPr>
      <w:rPr>
        <w:rFonts w:ascii="Courier New" w:hAnsi="Courier New" w:cs="Courier New" w:hint="default"/>
      </w:rPr>
    </w:lvl>
    <w:lvl w:ilvl="5" w:tplc="CDD88C34" w:tentative="1">
      <w:start w:val="1"/>
      <w:numFmt w:val="bullet"/>
      <w:lvlText w:val=""/>
      <w:lvlJc w:val="left"/>
      <w:pPr>
        <w:ind w:left="4320" w:hanging="360"/>
      </w:pPr>
      <w:rPr>
        <w:rFonts w:ascii="Wingdings" w:hAnsi="Wingdings" w:hint="default"/>
      </w:rPr>
    </w:lvl>
    <w:lvl w:ilvl="6" w:tplc="194CEFC6" w:tentative="1">
      <w:start w:val="1"/>
      <w:numFmt w:val="bullet"/>
      <w:lvlText w:val=""/>
      <w:lvlJc w:val="left"/>
      <w:pPr>
        <w:ind w:left="5040" w:hanging="360"/>
      </w:pPr>
      <w:rPr>
        <w:rFonts w:ascii="Symbol" w:hAnsi="Symbol" w:hint="default"/>
      </w:rPr>
    </w:lvl>
    <w:lvl w:ilvl="7" w:tplc="06D6AA48" w:tentative="1">
      <w:start w:val="1"/>
      <w:numFmt w:val="bullet"/>
      <w:lvlText w:val="o"/>
      <w:lvlJc w:val="left"/>
      <w:pPr>
        <w:ind w:left="5760" w:hanging="360"/>
      </w:pPr>
      <w:rPr>
        <w:rFonts w:ascii="Courier New" w:hAnsi="Courier New" w:cs="Courier New" w:hint="default"/>
      </w:rPr>
    </w:lvl>
    <w:lvl w:ilvl="8" w:tplc="1B6412DC"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6D1A1F56">
      <w:start w:val="1"/>
      <w:numFmt w:val="bullet"/>
      <w:lvlText w:val=""/>
      <w:lvlJc w:val="left"/>
      <w:pPr>
        <w:ind w:left="720" w:hanging="360"/>
      </w:pPr>
      <w:rPr>
        <w:rFonts w:ascii="Symbol" w:hAnsi="Symbol" w:hint="default"/>
      </w:rPr>
    </w:lvl>
    <w:lvl w:ilvl="1" w:tplc="908495B8" w:tentative="1">
      <w:start w:val="1"/>
      <w:numFmt w:val="bullet"/>
      <w:lvlText w:val="o"/>
      <w:lvlJc w:val="left"/>
      <w:pPr>
        <w:ind w:left="1440" w:hanging="360"/>
      </w:pPr>
      <w:rPr>
        <w:rFonts w:ascii="Courier New" w:hAnsi="Courier New" w:cs="Courier New" w:hint="default"/>
      </w:rPr>
    </w:lvl>
    <w:lvl w:ilvl="2" w:tplc="3ACC2FAC" w:tentative="1">
      <w:start w:val="1"/>
      <w:numFmt w:val="bullet"/>
      <w:lvlText w:val=""/>
      <w:lvlJc w:val="left"/>
      <w:pPr>
        <w:ind w:left="2160" w:hanging="360"/>
      </w:pPr>
      <w:rPr>
        <w:rFonts w:ascii="Wingdings" w:hAnsi="Wingdings" w:hint="default"/>
      </w:rPr>
    </w:lvl>
    <w:lvl w:ilvl="3" w:tplc="2B92FEAC" w:tentative="1">
      <w:start w:val="1"/>
      <w:numFmt w:val="bullet"/>
      <w:lvlText w:val=""/>
      <w:lvlJc w:val="left"/>
      <w:pPr>
        <w:ind w:left="2880" w:hanging="360"/>
      </w:pPr>
      <w:rPr>
        <w:rFonts w:ascii="Symbol" w:hAnsi="Symbol" w:hint="default"/>
      </w:rPr>
    </w:lvl>
    <w:lvl w:ilvl="4" w:tplc="9FDE7732" w:tentative="1">
      <w:start w:val="1"/>
      <w:numFmt w:val="bullet"/>
      <w:lvlText w:val="o"/>
      <w:lvlJc w:val="left"/>
      <w:pPr>
        <w:ind w:left="3600" w:hanging="360"/>
      </w:pPr>
      <w:rPr>
        <w:rFonts w:ascii="Courier New" w:hAnsi="Courier New" w:cs="Courier New" w:hint="default"/>
      </w:rPr>
    </w:lvl>
    <w:lvl w:ilvl="5" w:tplc="5D7CD868" w:tentative="1">
      <w:start w:val="1"/>
      <w:numFmt w:val="bullet"/>
      <w:lvlText w:val=""/>
      <w:lvlJc w:val="left"/>
      <w:pPr>
        <w:ind w:left="4320" w:hanging="360"/>
      </w:pPr>
      <w:rPr>
        <w:rFonts w:ascii="Wingdings" w:hAnsi="Wingdings" w:hint="default"/>
      </w:rPr>
    </w:lvl>
    <w:lvl w:ilvl="6" w:tplc="AC3E48E4" w:tentative="1">
      <w:start w:val="1"/>
      <w:numFmt w:val="bullet"/>
      <w:lvlText w:val=""/>
      <w:lvlJc w:val="left"/>
      <w:pPr>
        <w:ind w:left="5040" w:hanging="360"/>
      </w:pPr>
      <w:rPr>
        <w:rFonts w:ascii="Symbol" w:hAnsi="Symbol" w:hint="default"/>
      </w:rPr>
    </w:lvl>
    <w:lvl w:ilvl="7" w:tplc="A9AA71B2" w:tentative="1">
      <w:start w:val="1"/>
      <w:numFmt w:val="bullet"/>
      <w:lvlText w:val="o"/>
      <w:lvlJc w:val="left"/>
      <w:pPr>
        <w:ind w:left="5760" w:hanging="360"/>
      </w:pPr>
      <w:rPr>
        <w:rFonts w:ascii="Courier New" w:hAnsi="Courier New" w:cs="Courier New" w:hint="default"/>
      </w:rPr>
    </w:lvl>
    <w:lvl w:ilvl="8" w:tplc="27B23BF8" w:tentative="1">
      <w:start w:val="1"/>
      <w:numFmt w:val="bullet"/>
      <w:lvlText w:val=""/>
      <w:lvlJc w:val="left"/>
      <w:pPr>
        <w:ind w:left="6480" w:hanging="360"/>
      </w:pPr>
      <w:rPr>
        <w:rFonts w:ascii="Wingdings" w:hAnsi="Wingdings" w:hint="default"/>
      </w:rPr>
    </w:lvl>
  </w:abstractNum>
  <w:abstractNum w:abstractNumId="18" w15:restartNumberingAfterBreak="0">
    <w:nsid w:val="425F02CC"/>
    <w:multiLevelType w:val="hybridMultilevel"/>
    <w:tmpl w:val="E5208B52"/>
    <w:lvl w:ilvl="0" w:tplc="76400F9C">
      <w:start w:val="1"/>
      <w:numFmt w:val="bullet"/>
      <w:lvlText w:val=""/>
      <w:lvlJc w:val="left"/>
      <w:pPr>
        <w:ind w:left="180" w:hanging="360"/>
      </w:pPr>
      <w:rPr>
        <w:rFonts w:ascii="Symbol" w:hAnsi="Symbol" w:hint="default"/>
      </w:rPr>
    </w:lvl>
    <w:lvl w:ilvl="1" w:tplc="4F70F2D2" w:tentative="1">
      <w:start w:val="1"/>
      <w:numFmt w:val="bullet"/>
      <w:lvlText w:val="o"/>
      <w:lvlJc w:val="left"/>
      <w:pPr>
        <w:ind w:left="900" w:hanging="360"/>
      </w:pPr>
      <w:rPr>
        <w:rFonts w:ascii="Courier New" w:hAnsi="Courier New" w:cs="Courier New" w:hint="default"/>
      </w:rPr>
    </w:lvl>
    <w:lvl w:ilvl="2" w:tplc="1130DE36" w:tentative="1">
      <w:start w:val="1"/>
      <w:numFmt w:val="bullet"/>
      <w:lvlText w:val=""/>
      <w:lvlJc w:val="left"/>
      <w:pPr>
        <w:ind w:left="1620" w:hanging="360"/>
      </w:pPr>
      <w:rPr>
        <w:rFonts w:ascii="Wingdings" w:hAnsi="Wingdings" w:hint="default"/>
      </w:rPr>
    </w:lvl>
    <w:lvl w:ilvl="3" w:tplc="6618222C" w:tentative="1">
      <w:start w:val="1"/>
      <w:numFmt w:val="bullet"/>
      <w:lvlText w:val=""/>
      <w:lvlJc w:val="left"/>
      <w:pPr>
        <w:ind w:left="2340" w:hanging="360"/>
      </w:pPr>
      <w:rPr>
        <w:rFonts w:ascii="Symbol" w:hAnsi="Symbol" w:hint="default"/>
      </w:rPr>
    </w:lvl>
    <w:lvl w:ilvl="4" w:tplc="7D00C8B2" w:tentative="1">
      <w:start w:val="1"/>
      <w:numFmt w:val="bullet"/>
      <w:lvlText w:val="o"/>
      <w:lvlJc w:val="left"/>
      <w:pPr>
        <w:ind w:left="3060" w:hanging="360"/>
      </w:pPr>
      <w:rPr>
        <w:rFonts w:ascii="Courier New" w:hAnsi="Courier New" w:cs="Courier New" w:hint="default"/>
      </w:rPr>
    </w:lvl>
    <w:lvl w:ilvl="5" w:tplc="D4566ABA" w:tentative="1">
      <w:start w:val="1"/>
      <w:numFmt w:val="bullet"/>
      <w:lvlText w:val=""/>
      <w:lvlJc w:val="left"/>
      <w:pPr>
        <w:ind w:left="3780" w:hanging="360"/>
      </w:pPr>
      <w:rPr>
        <w:rFonts w:ascii="Wingdings" w:hAnsi="Wingdings" w:hint="default"/>
      </w:rPr>
    </w:lvl>
    <w:lvl w:ilvl="6" w:tplc="E826BB6E" w:tentative="1">
      <w:start w:val="1"/>
      <w:numFmt w:val="bullet"/>
      <w:lvlText w:val=""/>
      <w:lvlJc w:val="left"/>
      <w:pPr>
        <w:ind w:left="4500" w:hanging="360"/>
      </w:pPr>
      <w:rPr>
        <w:rFonts w:ascii="Symbol" w:hAnsi="Symbol" w:hint="default"/>
      </w:rPr>
    </w:lvl>
    <w:lvl w:ilvl="7" w:tplc="1D72225C" w:tentative="1">
      <w:start w:val="1"/>
      <w:numFmt w:val="bullet"/>
      <w:lvlText w:val="o"/>
      <w:lvlJc w:val="left"/>
      <w:pPr>
        <w:ind w:left="5220" w:hanging="360"/>
      </w:pPr>
      <w:rPr>
        <w:rFonts w:ascii="Courier New" w:hAnsi="Courier New" w:cs="Courier New" w:hint="default"/>
      </w:rPr>
    </w:lvl>
    <w:lvl w:ilvl="8" w:tplc="82F8D2D2" w:tentative="1">
      <w:start w:val="1"/>
      <w:numFmt w:val="bullet"/>
      <w:lvlText w:val=""/>
      <w:lvlJc w:val="left"/>
      <w:pPr>
        <w:ind w:left="5940" w:hanging="360"/>
      </w:pPr>
      <w:rPr>
        <w:rFonts w:ascii="Wingdings" w:hAnsi="Wingdings" w:hint="default"/>
      </w:rPr>
    </w:lvl>
  </w:abstractNum>
  <w:abstractNum w:abstractNumId="19"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62E2458A"/>
    <w:multiLevelType w:val="hybridMultilevel"/>
    <w:tmpl w:val="0F5A6546"/>
    <w:lvl w:ilvl="0" w:tplc="BCDE3392">
      <w:start w:val="1"/>
      <w:numFmt w:val="bullet"/>
      <w:lvlText w:val=""/>
      <w:lvlJc w:val="left"/>
      <w:pPr>
        <w:ind w:left="720" w:hanging="360"/>
      </w:pPr>
      <w:rPr>
        <w:rFonts w:ascii="Symbol" w:hAnsi="Symbol" w:hint="default"/>
      </w:rPr>
    </w:lvl>
    <w:lvl w:ilvl="1" w:tplc="E3E443B6" w:tentative="1">
      <w:start w:val="1"/>
      <w:numFmt w:val="bullet"/>
      <w:lvlText w:val="o"/>
      <w:lvlJc w:val="left"/>
      <w:pPr>
        <w:ind w:left="1440" w:hanging="360"/>
      </w:pPr>
      <w:rPr>
        <w:rFonts w:ascii="Courier New" w:hAnsi="Courier New" w:cs="Courier New" w:hint="default"/>
      </w:rPr>
    </w:lvl>
    <w:lvl w:ilvl="2" w:tplc="16809D88" w:tentative="1">
      <w:start w:val="1"/>
      <w:numFmt w:val="bullet"/>
      <w:lvlText w:val=""/>
      <w:lvlJc w:val="left"/>
      <w:pPr>
        <w:ind w:left="2160" w:hanging="360"/>
      </w:pPr>
      <w:rPr>
        <w:rFonts w:ascii="Wingdings" w:hAnsi="Wingdings" w:hint="default"/>
      </w:rPr>
    </w:lvl>
    <w:lvl w:ilvl="3" w:tplc="EE68A5D2" w:tentative="1">
      <w:start w:val="1"/>
      <w:numFmt w:val="bullet"/>
      <w:lvlText w:val=""/>
      <w:lvlJc w:val="left"/>
      <w:pPr>
        <w:ind w:left="2880" w:hanging="360"/>
      </w:pPr>
      <w:rPr>
        <w:rFonts w:ascii="Symbol" w:hAnsi="Symbol" w:hint="default"/>
      </w:rPr>
    </w:lvl>
    <w:lvl w:ilvl="4" w:tplc="FC9E05C0" w:tentative="1">
      <w:start w:val="1"/>
      <w:numFmt w:val="bullet"/>
      <w:lvlText w:val="o"/>
      <w:lvlJc w:val="left"/>
      <w:pPr>
        <w:ind w:left="3600" w:hanging="360"/>
      </w:pPr>
      <w:rPr>
        <w:rFonts w:ascii="Courier New" w:hAnsi="Courier New" w:cs="Courier New" w:hint="default"/>
      </w:rPr>
    </w:lvl>
    <w:lvl w:ilvl="5" w:tplc="EDE4F8C0" w:tentative="1">
      <w:start w:val="1"/>
      <w:numFmt w:val="bullet"/>
      <w:lvlText w:val=""/>
      <w:lvlJc w:val="left"/>
      <w:pPr>
        <w:ind w:left="4320" w:hanging="360"/>
      </w:pPr>
      <w:rPr>
        <w:rFonts w:ascii="Wingdings" w:hAnsi="Wingdings" w:hint="default"/>
      </w:rPr>
    </w:lvl>
    <w:lvl w:ilvl="6" w:tplc="88E644AE" w:tentative="1">
      <w:start w:val="1"/>
      <w:numFmt w:val="bullet"/>
      <w:lvlText w:val=""/>
      <w:lvlJc w:val="left"/>
      <w:pPr>
        <w:ind w:left="5040" w:hanging="360"/>
      </w:pPr>
      <w:rPr>
        <w:rFonts w:ascii="Symbol" w:hAnsi="Symbol" w:hint="default"/>
      </w:rPr>
    </w:lvl>
    <w:lvl w:ilvl="7" w:tplc="45B0F15C" w:tentative="1">
      <w:start w:val="1"/>
      <w:numFmt w:val="bullet"/>
      <w:lvlText w:val="o"/>
      <w:lvlJc w:val="left"/>
      <w:pPr>
        <w:ind w:left="5760" w:hanging="360"/>
      </w:pPr>
      <w:rPr>
        <w:rFonts w:ascii="Courier New" w:hAnsi="Courier New" w:cs="Courier New" w:hint="default"/>
      </w:rPr>
    </w:lvl>
    <w:lvl w:ilvl="8" w:tplc="0E94B6C2" w:tentative="1">
      <w:start w:val="1"/>
      <w:numFmt w:val="bullet"/>
      <w:lvlText w:val=""/>
      <w:lvlJc w:val="left"/>
      <w:pPr>
        <w:ind w:left="6480" w:hanging="360"/>
      </w:pPr>
      <w:rPr>
        <w:rFonts w:ascii="Wingdings" w:hAnsi="Wingdings" w:hint="default"/>
      </w:rPr>
    </w:lvl>
  </w:abstractNum>
  <w:abstractNum w:abstractNumId="21" w15:restartNumberingAfterBreak="0">
    <w:nsid w:val="63AE4D02"/>
    <w:multiLevelType w:val="hybridMultilevel"/>
    <w:tmpl w:val="209C8AF0"/>
    <w:lvl w:ilvl="0" w:tplc="5DB8B65E">
      <w:start w:val="1"/>
      <w:numFmt w:val="bullet"/>
      <w:lvlText w:val=""/>
      <w:lvlJc w:val="left"/>
      <w:pPr>
        <w:ind w:left="180" w:hanging="360"/>
      </w:pPr>
      <w:rPr>
        <w:rFonts w:ascii="Symbol" w:hAnsi="Symbol" w:hint="default"/>
      </w:rPr>
    </w:lvl>
    <w:lvl w:ilvl="1" w:tplc="E26C0AE8" w:tentative="1">
      <w:start w:val="1"/>
      <w:numFmt w:val="bullet"/>
      <w:lvlText w:val="o"/>
      <w:lvlJc w:val="left"/>
      <w:pPr>
        <w:ind w:left="900" w:hanging="360"/>
      </w:pPr>
      <w:rPr>
        <w:rFonts w:ascii="Courier New" w:hAnsi="Courier New" w:cs="Courier New" w:hint="default"/>
      </w:rPr>
    </w:lvl>
    <w:lvl w:ilvl="2" w:tplc="B652073E" w:tentative="1">
      <w:start w:val="1"/>
      <w:numFmt w:val="bullet"/>
      <w:lvlText w:val=""/>
      <w:lvlJc w:val="left"/>
      <w:pPr>
        <w:ind w:left="1620" w:hanging="360"/>
      </w:pPr>
      <w:rPr>
        <w:rFonts w:ascii="Wingdings" w:hAnsi="Wingdings" w:hint="default"/>
      </w:rPr>
    </w:lvl>
    <w:lvl w:ilvl="3" w:tplc="4070788C" w:tentative="1">
      <w:start w:val="1"/>
      <w:numFmt w:val="bullet"/>
      <w:lvlText w:val=""/>
      <w:lvlJc w:val="left"/>
      <w:pPr>
        <w:ind w:left="2340" w:hanging="360"/>
      </w:pPr>
      <w:rPr>
        <w:rFonts w:ascii="Symbol" w:hAnsi="Symbol" w:hint="default"/>
      </w:rPr>
    </w:lvl>
    <w:lvl w:ilvl="4" w:tplc="1C36A658" w:tentative="1">
      <w:start w:val="1"/>
      <w:numFmt w:val="bullet"/>
      <w:lvlText w:val="o"/>
      <w:lvlJc w:val="left"/>
      <w:pPr>
        <w:ind w:left="3060" w:hanging="360"/>
      </w:pPr>
      <w:rPr>
        <w:rFonts w:ascii="Courier New" w:hAnsi="Courier New" w:cs="Courier New" w:hint="default"/>
      </w:rPr>
    </w:lvl>
    <w:lvl w:ilvl="5" w:tplc="E626E722" w:tentative="1">
      <w:start w:val="1"/>
      <w:numFmt w:val="bullet"/>
      <w:lvlText w:val=""/>
      <w:lvlJc w:val="left"/>
      <w:pPr>
        <w:ind w:left="3780" w:hanging="360"/>
      </w:pPr>
      <w:rPr>
        <w:rFonts w:ascii="Wingdings" w:hAnsi="Wingdings" w:hint="default"/>
      </w:rPr>
    </w:lvl>
    <w:lvl w:ilvl="6" w:tplc="A798EE2C" w:tentative="1">
      <w:start w:val="1"/>
      <w:numFmt w:val="bullet"/>
      <w:lvlText w:val=""/>
      <w:lvlJc w:val="left"/>
      <w:pPr>
        <w:ind w:left="4500" w:hanging="360"/>
      </w:pPr>
      <w:rPr>
        <w:rFonts w:ascii="Symbol" w:hAnsi="Symbol" w:hint="default"/>
      </w:rPr>
    </w:lvl>
    <w:lvl w:ilvl="7" w:tplc="B4129704" w:tentative="1">
      <w:start w:val="1"/>
      <w:numFmt w:val="bullet"/>
      <w:lvlText w:val="o"/>
      <w:lvlJc w:val="left"/>
      <w:pPr>
        <w:ind w:left="5220" w:hanging="360"/>
      </w:pPr>
      <w:rPr>
        <w:rFonts w:ascii="Courier New" w:hAnsi="Courier New" w:cs="Courier New" w:hint="default"/>
      </w:rPr>
    </w:lvl>
    <w:lvl w:ilvl="8" w:tplc="02A84F6C" w:tentative="1">
      <w:start w:val="1"/>
      <w:numFmt w:val="bullet"/>
      <w:lvlText w:val=""/>
      <w:lvlJc w:val="left"/>
      <w:pPr>
        <w:ind w:left="5940" w:hanging="360"/>
      </w:pPr>
      <w:rPr>
        <w:rFonts w:ascii="Wingdings" w:hAnsi="Wingdings" w:hint="default"/>
      </w:rPr>
    </w:lvl>
  </w:abstractNum>
  <w:abstractNum w:abstractNumId="22" w15:restartNumberingAfterBreak="0">
    <w:nsid w:val="6FD9220F"/>
    <w:multiLevelType w:val="hybridMultilevel"/>
    <w:tmpl w:val="82AA4ECA"/>
    <w:lvl w:ilvl="0" w:tplc="8A0EDCA0">
      <w:start w:val="1"/>
      <w:numFmt w:val="bullet"/>
      <w:lvlText w:val=""/>
      <w:lvlJc w:val="left"/>
      <w:pPr>
        <w:ind w:left="720" w:hanging="360"/>
      </w:pPr>
      <w:rPr>
        <w:rFonts w:ascii="Symbol" w:hAnsi="Symbol" w:hint="default"/>
      </w:rPr>
    </w:lvl>
    <w:lvl w:ilvl="1" w:tplc="9D14A8F2" w:tentative="1">
      <w:start w:val="1"/>
      <w:numFmt w:val="bullet"/>
      <w:lvlText w:val="o"/>
      <w:lvlJc w:val="left"/>
      <w:pPr>
        <w:ind w:left="1440" w:hanging="360"/>
      </w:pPr>
      <w:rPr>
        <w:rFonts w:ascii="Courier New" w:hAnsi="Courier New" w:cs="Courier New" w:hint="default"/>
      </w:rPr>
    </w:lvl>
    <w:lvl w:ilvl="2" w:tplc="BB8429C0" w:tentative="1">
      <w:start w:val="1"/>
      <w:numFmt w:val="bullet"/>
      <w:lvlText w:val=""/>
      <w:lvlJc w:val="left"/>
      <w:pPr>
        <w:ind w:left="2160" w:hanging="360"/>
      </w:pPr>
      <w:rPr>
        <w:rFonts w:ascii="Wingdings" w:hAnsi="Wingdings" w:hint="default"/>
      </w:rPr>
    </w:lvl>
    <w:lvl w:ilvl="3" w:tplc="312A8B9E" w:tentative="1">
      <w:start w:val="1"/>
      <w:numFmt w:val="bullet"/>
      <w:lvlText w:val=""/>
      <w:lvlJc w:val="left"/>
      <w:pPr>
        <w:ind w:left="2880" w:hanging="360"/>
      </w:pPr>
      <w:rPr>
        <w:rFonts w:ascii="Symbol" w:hAnsi="Symbol" w:hint="default"/>
      </w:rPr>
    </w:lvl>
    <w:lvl w:ilvl="4" w:tplc="A5D8FDE6" w:tentative="1">
      <w:start w:val="1"/>
      <w:numFmt w:val="bullet"/>
      <w:lvlText w:val="o"/>
      <w:lvlJc w:val="left"/>
      <w:pPr>
        <w:ind w:left="3600" w:hanging="360"/>
      </w:pPr>
      <w:rPr>
        <w:rFonts w:ascii="Courier New" w:hAnsi="Courier New" w:cs="Courier New" w:hint="default"/>
      </w:rPr>
    </w:lvl>
    <w:lvl w:ilvl="5" w:tplc="06006A1A" w:tentative="1">
      <w:start w:val="1"/>
      <w:numFmt w:val="bullet"/>
      <w:lvlText w:val=""/>
      <w:lvlJc w:val="left"/>
      <w:pPr>
        <w:ind w:left="4320" w:hanging="360"/>
      </w:pPr>
      <w:rPr>
        <w:rFonts w:ascii="Wingdings" w:hAnsi="Wingdings" w:hint="default"/>
      </w:rPr>
    </w:lvl>
    <w:lvl w:ilvl="6" w:tplc="E7C41070" w:tentative="1">
      <w:start w:val="1"/>
      <w:numFmt w:val="bullet"/>
      <w:lvlText w:val=""/>
      <w:lvlJc w:val="left"/>
      <w:pPr>
        <w:ind w:left="5040" w:hanging="360"/>
      </w:pPr>
      <w:rPr>
        <w:rFonts w:ascii="Symbol" w:hAnsi="Symbol" w:hint="default"/>
      </w:rPr>
    </w:lvl>
    <w:lvl w:ilvl="7" w:tplc="FF1A32A6" w:tentative="1">
      <w:start w:val="1"/>
      <w:numFmt w:val="bullet"/>
      <w:lvlText w:val="o"/>
      <w:lvlJc w:val="left"/>
      <w:pPr>
        <w:ind w:left="5760" w:hanging="360"/>
      </w:pPr>
      <w:rPr>
        <w:rFonts w:ascii="Courier New" w:hAnsi="Courier New" w:cs="Courier New" w:hint="default"/>
      </w:rPr>
    </w:lvl>
    <w:lvl w:ilvl="8" w:tplc="62A0ECEA" w:tentative="1">
      <w:start w:val="1"/>
      <w:numFmt w:val="bullet"/>
      <w:lvlText w:val=""/>
      <w:lvlJc w:val="left"/>
      <w:pPr>
        <w:ind w:left="6480" w:hanging="360"/>
      </w:pPr>
      <w:rPr>
        <w:rFonts w:ascii="Wingdings" w:hAnsi="Wingdings" w:hint="default"/>
      </w:rPr>
    </w:lvl>
  </w:abstractNum>
  <w:abstractNum w:abstractNumId="23"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CB6DE1"/>
    <w:multiLevelType w:val="hybridMultilevel"/>
    <w:tmpl w:val="BDA61AAC"/>
    <w:lvl w:ilvl="0" w:tplc="28D6087E">
      <w:start w:val="1"/>
      <w:numFmt w:val="bullet"/>
      <w:lvlText w:val=""/>
      <w:lvlJc w:val="left"/>
      <w:pPr>
        <w:ind w:left="720" w:hanging="360"/>
      </w:pPr>
      <w:rPr>
        <w:rFonts w:ascii="Symbol" w:hAnsi="Symbol" w:hint="default"/>
      </w:rPr>
    </w:lvl>
    <w:lvl w:ilvl="1" w:tplc="28547BCC">
      <w:start w:val="1"/>
      <w:numFmt w:val="bullet"/>
      <w:lvlText w:val="o"/>
      <w:lvlJc w:val="left"/>
      <w:pPr>
        <w:ind w:left="1440" w:hanging="360"/>
      </w:pPr>
      <w:rPr>
        <w:rFonts w:ascii="Courier New" w:hAnsi="Courier New" w:cs="Courier New" w:hint="default"/>
      </w:rPr>
    </w:lvl>
    <w:lvl w:ilvl="2" w:tplc="CFA22394" w:tentative="1">
      <w:start w:val="1"/>
      <w:numFmt w:val="bullet"/>
      <w:lvlText w:val=""/>
      <w:lvlJc w:val="left"/>
      <w:pPr>
        <w:ind w:left="2160" w:hanging="360"/>
      </w:pPr>
      <w:rPr>
        <w:rFonts w:ascii="Wingdings" w:hAnsi="Wingdings" w:hint="default"/>
      </w:rPr>
    </w:lvl>
    <w:lvl w:ilvl="3" w:tplc="46BCEEB8" w:tentative="1">
      <w:start w:val="1"/>
      <w:numFmt w:val="bullet"/>
      <w:lvlText w:val=""/>
      <w:lvlJc w:val="left"/>
      <w:pPr>
        <w:ind w:left="2880" w:hanging="360"/>
      </w:pPr>
      <w:rPr>
        <w:rFonts w:ascii="Symbol" w:hAnsi="Symbol" w:hint="default"/>
      </w:rPr>
    </w:lvl>
    <w:lvl w:ilvl="4" w:tplc="B91292D6" w:tentative="1">
      <w:start w:val="1"/>
      <w:numFmt w:val="bullet"/>
      <w:lvlText w:val="o"/>
      <w:lvlJc w:val="left"/>
      <w:pPr>
        <w:ind w:left="3600" w:hanging="360"/>
      </w:pPr>
      <w:rPr>
        <w:rFonts w:ascii="Courier New" w:hAnsi="Courier New" w:cs="Courier New" w:hint="default"/>
      </w:rPr>
    </w:lvl>
    <w:lvl w:ilvl="5" w:tplc="A5AAF30E" w:tentative="1">
      <w:start w:val="1"/>
      <w:numFmt w:val="bullet"/>
      <w:lvlText w:val=""/>
      <w:lvlJc w:val="left"/>
      <w:pPr>
        <w:ind w:left="4320" w:hanging="360"/>
      </w:pPr>
      <w:rPr>
        <w:rFonts w:ascii="Wingdings" w:hAnsi="Wingdings" w:hint="default"/>
      </w:rPr>
    </w:lvl>
    <w:lvl w:ilvl="6" w:tplc="F118B1D2" w:tentative="1">
      <w:start w:val="1"/>
      <w:numFmt w:val="bullet"/>
      <w:lvlText w:val=""/>
      <w:lvlJc w:val="left"/>
      <w:pPr>
        <w:ind w:left="5040" w:hanging="360"/>
      </w:pPr>
      <w:rPr>
        <w:rFonts w:ascii="Symbol" w:hAnsi="Symbol" w:hint="default"/>
      </w:rPr>
    </w:lvl>
    <w:lvl w:ilvl="7" w:tplc="649E8368" w:tentative="1">
      <w:start w:val="1"/>
      <w:numFmt w:val="bullet"/>
      <w:lvlText w:val="o"/>
      <w:lvlJc w:val="left"/>
      <w:pPr>
        <w:ind w:left="5760" w:hanging="360"/>
      </w:pPr>
      <w:rPr>
        <w:rFonts w:ascii="Courier New" w:hAnsi="Courier New" w:cs="Courier New" w:hint="default"/>
      </w:rPr>
    </w:lvl>
    <w:lvl w:ilvl="8" w:tplc="D3FCE774" w:tentative="1">
      <w:start w:val="1"/>
      <w:numFmt w:val="bullet"/>
      <w:lvlText w:val=""/>
      <w:lvlJc w:val="left"/>
      <w:pPr>
        <w:ind w:left="6480" w:hanging="360"/>
      </w:pPr>
      <w:rPr>
        <w:rFonts w:ascii="Wingdings" w:hAnsi="Wingdings" w:hint="default"/>
      </w:rPr>
    </w:lvl>
  </w:abstractNum>
  <w:abstractNum w:abstractNumId="27" w15:restartNumberingAfterBreak="0">
    <w:nsid w:val="7FCB6DE2"/>
    <w:multiLevelType w:val="hybridMultilevel"/>
    <w:tmpl w:val="56347B16"/>
    <w:lvl w:ilvl="0" w:tplc="43581908">
      <w:start w:val="1"/>
      <w:numFmt w:val="bullet"/>
      <w:lvlText w:val=""/>
      <w:lvlJc w:val="left"/>
      <w:pPr>
        <w:ind w:left="1440" w:hanging="360"/>
      </w:pPr>
      <w:rPr>
        <w:rFonts w:ascii="Symbol" w:hAnsi="Symbol" w:hint="default"/>
      </w:rPr>
    </w:lvl>
    <w:lvl w:ilvl="1" w:tplc="9F08900C" w:tentative="1">
      <w:start w:val="1"/>
      <w:numFmt w:val="bullet"/>
      <w:lvlText w:val="o"/>
      <w:lvlJc w:val="left"/>
      <w:pPr>
        <w:ind w:left="2160" w:hanging="360"/>
      </w:pPr>
      <w:rPr>
        <w:rFonts w:ascii="Courier New" w:hAnsi="Courier New" w:cs="Courier New" w:hint="default"/>
      </w:rPr>
    </w:lvl>
    <w:lvl w:ilvl="2" w:tplc="92262676" w:tentative="1">
      <w:start w:val="1"/>
      <w:numFmt w:val="bullet"/>
      <w:lvlText w:val=""/>
      <w:lvlJc w:val="left"/>
      <w:pPr>
        <w:ind w:left="2880" w:hanging="360"/>
      </w:pPr>
      <w:rPr>
        <w:rFonts w:ascii="Wingdings" w:hAnsi="Wingdings" w:hint="default"/>
      </w:rPr>
    </w:lvl>
    <w:lvl w:ilvl="3" w:tplc="08A4DB1C" w:tentative="1">
      <w:start w:val="1"/>
      <w:numFmt w:val="bullet"/>
      <w:lvlText w:val=""/>
      <w:lvlJc w:val="left"/>
      <w:pPr>
        <w:ind w:left="3600" w:hanging="360"/>
      </w:pPr>
      <w:rPr>
        <w:rFonts w:ascii="Symbol" w:hAnsi="Symbol" w:hint="default"/>
      </w:rPr>
    </w:lvl>
    <w:lvl w:ilvl="4" w:tplc="50BCC0D0" w:tentative="1">
      <w:start w:val="1"/>
      <w:numFmt w:val="bullet"/>
      <w:lvlText w:val="o"/>
      <w:lvlJc w:val="left"/>
      <w:pPr>
        <w:ind w:left="4320" w:hanging="360"/>
      </w:pPr>
      <w:rPr>
        <w:rFonts w:ascii="Courier New" w:hAnsi="Courier New" w:cs="Courier New" w:hint="default"/>
      </w:rPr>
    </w:lvl>
    <w:lvl w:ilvl="5" w:tplc="6C988EA4" w:tentative="1">
      <w:start w:val="1"/>
      <w:numFmt w:val="bullet"/>
      <w:lvlText w:val=""/>
      <w:lvlJc w:val="left"/>
      <w:pPr>
        <w:ind w:left="5040" w:hanging="360"/>
      </w:pPr>
      <w:rPr>
        <w:rFonts w:ascii="Wingdings" w:hAnsi="Wingdings" w:hint="default"/>
      </w:rPr>
    </w:lvl>
    <w:lvl w:ilvl="6" w:tplc="C3344D4C" w:tentative="1">
      <w:start w:val="1"/>
      <w:numFmt w:val="bullet"/>
      <w:lvlText w:val=""/>
      <w:lvlJc w:val="left"/>
      <w:pPr>
        <w:ind w:left="5760" w:hanging="360"/>
      </w:pPr>
      <w:rPr>
        <w:rFonts w:ascii="Symbol" w:hAnsi="Symbol" w:hint="default"/>
      </w:rPr>
    </w:lvl>
    <w:lvl w:ilvl="7" w:tplc="D756BA8A" w:tentative="1">
      <w:start w:val="1"/>
      <w:numFmt w:val="bullet"/>
      <w:lvlText w:val="o"/>
      <w:lvlJc w:val="left"/>
      <w:pPr>
        <w:ind w:left="6480" w:hanging="360"/>
      </w:pPr>
      <w:rPr>
        <w:rFonts w:ascii="Courier New" w:hAnsi="Courier New" w:cs="Courier New" w:hint="default"/>
      </w:rPr>
    </w:lvl>
    <w:lvl w:ilvl="8" w:tplc="EF24F240" w:tentative="1">
      <w:start w:val="1"/>
      <w:numFmt w:val="bullet"/>
      <w:lvlText w:val=""/>
      <w:lvlJc w:val="left"/>
      <w:pPr>
        <w:ind w:left="7200" w:hanging="360"/>
      </w:pPr>
      <w:rPr>
        <w:rFonts w:ascii="Wingdings" w:hAnsi="Wingdings" w:hint="default"/>
      </w:rPr>
    </w:lvl>
  </w:abstractNum>
  <w:abstractNum w:abstractNumId="28" w15:restartNumberingAfterBreak="0">
    <w:nsid w:val="7FCB6DE3"/>
    <w:multiLevelType w:val="hybridMultilevel"/>
    <w:tmpl w:val="49EC3F10"/>
    <w:lvl w:ilvl="0" w:tplc="1B0CE0E2">
      <w:start w:val="1"/>
      <w:numFmt w:val="decimal"/>
      <w:lvlText w:val="(%1)"/>
      <w:lvlJc w:val="left"/>
      <w:pPr>
        <w:ind w:left="360" w:hanging="360"/>
      </w:pPr>
      <w:rPr>
        <w:rFonts w:hint="default"/>
      </w:rPr>
    </w:lvl>
    <w:lvl w:ilvl="1" w:tplc="DDBCEE72" w:tentative="1">
      <w:start w:val="1"/>
      <w:numFmt w:val="lowerLetter"/>
      <w:lvlText w:val="%2."/>
      <w:lvlJc w:val="left"/>
      <w:pPr>
        <w:ind w:left="1080" w:hanging="360"/>
      </w:pPr>
    </w:lvl>
    <w:lvl w:ilvl="2" w:tplc="469AE82E" w:tentative="1">
      <w:start w:val="1"/>
      <w:numFmt w:val="lowerRoman"/>
      <w:lvlText w:val="%3."/>
      <w:lvlJc w:val="right"/>
      <w:pPr>
        <w:ind w:left="1800" w:hanging="180"/>
      </w:pPr>
    </w:lvl>
    <w:lvl w:ilvl="3" w:tplc="BEE0285C" w:tentative="1">
      <w:start w:val="1"/>
      <w:numFmt w:val="decimal"/>
      <w:lvlText w:val="%4."/>
      <w:lvlJc w:val="left"/>
      <w:pPr>
        <w:ind w:left="2520" w:hanging="360"/>
      </w:pPr>
    </w:lvl>
    <w:lvl w:ilvl="4" w:tplc="B2E0C878" w:tentative="1">
      <w:start w:val="1"/>
      <w:numFmt w:val="lowerLetter"/>
      <w:lvlText w:val="%5."/>
      <w:lvlJc w:val="left"/>
      <w:pPr>
        <w:ind w:left="3240" w:hanging="360"/>
      </w:pPr>
    </w:lvl>
    <w:lvl w:ilvl="5" w:tplc="5EA2C2BE" w:tentative="1">
      <w:start w:val="1"/>
      <w:numFmt w:val="lowerRoman"/>
      <w:lvlText w:val="%6."/>
      <w:lvlJc w:val="right"/>
      <w:pPr>
        <w:ind w:left="3960" w:hanging="180"/>
      </w:pPr>
    </w:lvl>
    <w:lvl w:ilvl="6" w:tplc="AE545282" w:tentative="1">
      <w:start w:val="1"/>
      <w:numFmt w:val="decimal"/>
      <w:lvlText w:val="%7."/>
      <w:lvlJc w:val="left"/>
      <w:pPr>
        <w:ind w:left="4680" w:hanging="360"/>
      </w:pPr>
    </w:lvl>
    <w:lvl w:ilvl="7" w:tplc="B2982168" w:tentative="1">
      <w:start w:val="1"/>
      <w:numFmt w:val="lowerLetter"/>
      <w:lvlText w:val="%8."/>
      <w:lvlJc w:val="left"/>
      <w:pPr>
        <w:ind w:left="5400" w:hanging="360"/>
      </w:pPr>
    </w:lvl>
    <w:lvl w:ilvl="8" w:tplc="197AC6E4"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5"/>
  </w:num>
  <w:num w:numId="14">
    <w:abstractNumId w:val="19"/>
  </w:num>
  <w:num w:numId="15">
    <w:abstractNumId w:val="23"/>
  </w:num>
  <w:num w:numId="16">
    <w:abstractNumId w:val="14"/>
  </w:num>
  <w:num w:numId="17">
    <w:abstractNumId w:val="16"/>
  </w:num>
  <w:num w:numId="18">
    <w:abstractNumId w:val="24"/>
  </w:num>
  <w:num w:numId="19">
    <w:abstractNumId w:val="11"/>
  </w:num>
  <w:num w:numId="20">
    <w:abstractNumId w:val="21"/>
  </w:num>
  <w:num w:numId="21">
    <w:abstractNumId w:val="18"/>
  </w:num>
  <w:num w:numId="22">
    <w:abstractNumId w:val="22"/>
  </w:num>
  <w:num w:numId="23">
    <w:abstractNumId w:val="20"/>
  </w:num>
  <w:num w:numId="24">
    <w:abstractNumId w:val="13"/>
  </w:num>
  <w:num w:numId="25">
    <w:abstractNumId w:val="15"/>
  </w:num>
  <w:num w:numId="26">
    <w:abstractNumId w:val="17"/>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connectString w:val=""/>
    <w:activeRecord w:val="-1"/>
    <w:odso/>
  </w:mailMerge>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9D"/>
    <w:rsid w:val="00197531"/>
    <w:rsid w:val="0024609D"/>
    <w:rsid w:val="003E51D2"/>
    <w:rsid w:val="00EE7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2318"/>
  <w15:docId w15:val="{E5C89716-A0F5-490C-87E0-553C37B4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unhideWhenUsed/>
    <w:locked/>
    <w:rsid w:val="00F73E5D"/>
    <w:rPr>
      <w:color w:val="0000FF"/>
      <w:u w:val="single"/>
    </w:rPr>
  </w:style>
  <w:style w:type="paragraph" w:customStyle="1" w:styleId="Style1">
    <w:name w:val="Style1"/>
    <w:basedOn w:val="Normal"/>
    <w:link w:val="Style1Char"/>
    <w:qFormat/>
    <w:rsid w:val="007B205B"/>
    <w:pPr>
      <w:pBdr>
        <w:top w:val="single" w:sz="4" w:space="10" w:color="auto"/>
      </w:pBdr>
      <w:spacing w:before="120" w:after="0" w:line="240" w:lineRule="auto"/>
    </w:pPr>
    <w:rPr>
      <w:rFonts w:eastAsiaTheme="majorEastAsia" w:cstheme="majorBidi"/>
      <w:bCs/>
      <w:color w:val="C00000"/>
      <w:sz w:val="24"/>
      <w:szCs w:val="20"/>
    </w:rPr>
  </w:style>
  <w:style w:type="character" w:customStyle="1" w:styleId="Style1Char">
    <w:name w:val="Style1 Char"/>
    <w:basedOn w:val="DefaultParagraphFont"/>
    <w:link w:val="Style1"/>
    <w:rsid w:val="007B205B"/>
    <w:rPr>
      <w:rFonts w:ascii="Arial" w:eastAsiaTheme="majorEastAsia" w:hAnsi="Arial" w:cstheme="majorBidi"/>
      <w:bCs/>
      <w:color w:val="C00000"/>
      <w:szCs w:val="20"/>
    </w:rPr>
  </w:style>
  <w:style w:type="paragraph" w:customStyle="1" w:styleId="Header0">
    <w:name w:val="Header_0"/>
    <w:basedOn w:val="Normal0"/>
    <w:link w:val="HeaderChar0"/>
    <w:uiPriority w:val="99"/>
    <w:locked/>
    <w:pPr>
      <w:tabs>
        <w:tab w:val="center" w:pos="4513"/>
        <w:tab w:val="right" w:pos="9026"/>
      </w:tabs>
      <w:spacing w:after="0" w:line="240" w:lineRule="auto"/>
    </w:p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paragraph" w:customStyle="1" w:styleId="Footer0">
    <w:name w:val="Footer_0"/>
    <w:basedOn w:val="Normal1"/>
    <w:link w:val="FooterChar0"/>
    <w:uiPriority w:val="99"/>
    <w:pPr>
      <w:tabs>
        <w:tab w:val="center" w:pos="4320"/>
        <w:tab w:val="right" w:pos="8640"/>
      </w:tabs>
    </w:pPr>
  </w:style>
  <w:style w:type="paragraph" w:customStyle="1" w:styleId="Normal1">
    <w:name w:val="Normal_1"/>
    <w:semiHidden/>
    <w:qFormat/>
    <w:pPr>
      <w:spacing w:after="120" w:line="240" w:lineRule="atLeast"/>
    </w:pPr>
    <w:rPr>
      <w:rFonts w:ascii="Arial" w:hAnsi="Arial" w:cs="Arial"/>
      <w:sz w:val="18"/>
      <w:szCs w:val="18"/>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Header1">
    <w:name w:val="Header_1"/>
    <w:basedOn w:val="Normal2"/>
    <w:link w:val="HeaderChar1"/>
    <w:uiPriority w:val="99"/>
    <w:locked/>
    <w:pPr>
      <w:tabs>
        <w:tab w:val="center" w:pos="4513"/>
        <w:tab w:val="right" w:pos="9026"/>
      </w:tabs>
      <w:spacing w:after="0" w:line="240" w:lineRule="auto"/>
    </w:p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3"/>
    <w:link w:val="HeaderChar2"/>
    <w:uiPriority w:val="99"/>
    <w:locked/>
    <w:pPr>
      <w:tabs>
        <w:tab w:val="center" w:pos="4513"/>
        <w:tab w:val="right" w:pos="9026"/>
      </w:tabs>
      <w:spacing w:after="0" w:line="240" w:lineRule="auto"/>
    </w:p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2">
    <w:name w:val="Header Char_2"/>
    <w:basedOn w:val="DefaultParagraphFont"/>
    <w:link w:val="Header2"/>
    <w:uiPriority w:val="99"/>
    <w:rPr>
      <w:rFonts w:ascii="Arial" w:hAnsi="Arial" w:cs="Arial"/>
      <w:sz w:val="18"/>
      <w:szCs w:val="18"/>
    </w:rPr>
  </w:style>
  <w:style w:type="paragraph" w:customStyle="1" w:styleId="ESHeading10">
    <w:name w:val="ES_Heading 1_0"/>
    <w:basedOn w:val="Title"/>
    <w:qFormat/>
    <w:rsid w:val="00D4348E"/>
    <w:rPr>
      <w:b w:val="0"/>
      <w:bCs/>
      <w:sz w:val="36"/>
      <w:szCs w:val="36"/>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Theme="majorEastAsia" w:hAnsi="Arial" w:cstheme="majorBidi"/>
      <w:bCs/>
      <w:color w:val="C00000"/>
      <w:sz w:val="28"/>
      <w:szCs w:val="20"/>
    </w:rPr>
  </w:style>
  <w:style w:type="paragraph" w:customStyle="1" w:styleId="ESBodyText0">
    <w:name w:val="ES_Body Text_0"/>
    <w:basedOn w:val="Normal"/>
    <w:link w:val="ESBodyTextChar"/>
    <w:qFormat/>
  </w:style>
  <w:style w:type="character" w:customStyle="1" w:styleId="ESBodyTextChar">
    <w:name w:val="ES_Body Text Char"/>
    <w:basedOn w:val="DefaultParagraphFont"/>
    <w:link w:val="ESBodyText0"/>
    <w:rsid w:val="00B637FF"/>
    <w:rPr>
      <w:rFonts w:ascii="Arial" w:hAnsi="Arial" w:cs="Arial"/>
      <w:sz w:val="18"/>
      <w:szCs w:val="18"/>
    </w:rPr>
  </w:style>
  <w:style w:type="paragraph" w:customStyle="1" w:styleId="H2Line">
    <w:name w:val="H2 Line"/>
    <w:basedOn w:val="Style10"/>
    <w:link w:val="H2LineChar"/>
    <w:qFormat/>
    <w:rsid w:val="006825C7"/>
  </w:style>
  <w:style w:type="character" w:customStyle="1" w:styleId="H2LineChar">
    <w:name w:val="H2 Line Char"/>
    <w:basedOn w:val="Style1Char0"/>
    <w:link w:val="H2Line"/>
    <w:rsid w:val="006825C7"/>
    <w:rPr>
      <w:rFonts w:ascii="Arial" w:eastAsiaTheme="majorEastAsia" w:hAnsi="Arial" w:cstheme="majorBidi"/>
      <w:bCs/>
      <w:color w:val="C00000"/>
      <w:sz w:val="28"/>
      <w:szCs w:val="20"/>
    </w:rPr>
  </w:style>
  <w:style w:type="paragraph" w:customStyle="1" w:styleId="Body2">
    <w:name w:val="Body 2"/>
    <w:basedOn w:val="ESBodyText0"/>
    <w:link w:val="Body2Char"/>
    <w:qFormat/>
    <w:rsid w:val="00B637FF"/>
    <w:pPr>
      <w:spacing w:after="360"/>
    </w:pPr>
  </w:style>
  <w:style w:type="character" w:customStyle="1" w:styleId="Body2Char">
    <w:name w:val="Body 2 Char"/>
    <w:basedOn w:val="ESBodyTextChar"/>
    <w:link w:val="Body2"/>
    <w:rsid w:val="00B637FF"/>
    <w:rPr>
      <w:rFonts w:ascii="Arial" w:hAnsi="Arial" w:cs="Arial"/>
      <w:sz w:val="18"/>
      <w:szCs w:val="18"/>
    </w:rPr>
  </w:style>
  <w:style w:type="paragraph" w:customStyle="1" w:styleId="ESHeading30">
    <w:name w:val="ES_Heading 3_0"/>
    <w:basedOn w:val="Heading3"/>
    <w:qFormat/>
    <w:rsid w:val="00DF78DF"/>
    <w:rPr>
      <w:sz w:val="18"/>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6.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file:///C:\Users\08783417\Downloads\www.hampdenss.vic.edu.au"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chart" Target="charts/chart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t.vic.edu.au/" TargetMode="Externa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t.vic.edu.au/"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chart" Target="charts/chart2.xm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Parent Satisfaction (latest year)</a:t>
            </a:r>
          </a:p>
        </c:rich>
      </c:tx>
      <c:layout>
        <c:manualLayout>
          <c:xMode val="edge"/>
          <c:yMode val="edge"/>
          <c:x val="0.28196086029839185"/>
          <c:y val="2.8624864071691538E-2"/>
        </c:manualLayout>
      </c:layout>
      <c:overlay val="0"/>
      <c:spPr>
        <a:noFill/>
        <a:ln>
          <a:noFill/>
        </a:ln>
      </c:spPr>
    </c:title>
    <c:autoTitleDeleted val="0"/>
    <c:plotArea>
      <c:layout>
        <c:manualLayout>
          <c:layoutTarget val="inner"/>
          <c:xMode val="edge"/>
          <c:yMode val="edge"/>
          <c:x val="0.16961988143090501"/>
          <c:y val="0.17224392695593899"/>
          <c:w val="0.76236348952884381"/>
          <c:h val="0.55478795183879881"/>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chemeClr val="accent4"/>
              </a:solidFill>
              <a:ln>
                <a:noFill/>
              </a:ln>
            </c:spPr>
            <c:extLst>
              <c:ext xmlns:c16="http://schemas.microsoft.com/office/drawing/2014/chart" uri="{C3380CC4-5D6E-409C-BE32-E72D297353CC}">
                <c16:uniqueId val="{00000001-CDE9-4667-8025-FFE615C75B8F}"/>
              </c:ext>
            </c:extLst>
          </c:dPt>
          <c:dPt>
            <c:idx val="1"/>
            <c:invertIfNegative val="0"/>
            <c:bubble3D val="0"/>
            <c:spPr>
              <a:solidFill>
                <a:schemeClr val="accent3"/>
              </a:solidFill>
              <a:ln>
                <a:noFill/>
              </a:ln>
            </c:spPr>
            <c:extLst>
              <c:ext xmlns:c16="http://schemas.microsoft.com/office/drawing/2014/chart" uri="{C3380CC4-5D6E-409C-BE32-E72D297353CC}">
                <c16:uniqueId val="{00000003-CDE9-4667-8025-FFE615C75B8F}"/>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spec!$J$3:$J$4</c:f>
              <c:strCache>
                <c:ptCount val="2"/>
                <c:pt idx="0">
                  <c:v>School</c:v>
                </c:pt>
                <c:pt idx="1">
                  <c:v>State</c:v>
                </c:pt>
              </c:strCache>
            </c:strRef>
          </c:cat>
          <c:val>
            <c:numRef>
              <c:f>spec!$C$3:$C$4</c:f>
              <c:numCache>
                <c:formatCode>0.0%</c:formatCode>
                <c:ptCount val="2"/>
                <c:pt idx="0">
                  <c:v>0.97099999999999997</c:v>
                </c:pt>
                <c:pt idx="1">
                  <c:v>0.85199999999999998</c:v>
                </c:pt>
              </c:numCache>
            </c:numRef>
          </c:val>
          <c:extLst>
            <c:ext xmlns:c16="http://schemas.microsoft.com/office/drawing/2014/chart" uri="{C3380CC4-5D6E-409C-BE32-E72D297353CC}">
              <c16:uniqueId val="{00000004-CDE9-4667-8025-FFE615C75B8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endorsement</a:t>
                </a:r>
              </a:p>
            </c:rich>
          </c:tx>
          <c:layout>
            <c:manualLayout>
              <c:xMode val="edge"/>
              <c:yMode val="edge"/>
              <c:x val="0.3724639825950839"/>
              <c:y val="0.88493521296526789"/>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School Climate (latest year)</a:t>
            </a:r>
          </a:p>
        </c:rich>
      </c:tx>
      <c:layout>
        <c:manualLayout>
          <c:xMode val="edge"/>
          <c:yMode val="edge"/>
          <c:x val="0.31678122375515883"/>
          <c:y val="5.4263565891472867E-2"/>
        </c:manualLayout>
      </c:layout>
      <c:overlay val="0"/>
      <c:spPr>
        <a:noFill/>
        <a:ln>
          <a:noFill/>
        </a:ln>
      </c:spPr>
    </c:title>
    <c:autoTitleDeleted val="0"/>
    <c:plotArea>
      <c:layout>
        <c:manualLayout>
          <c:layoutTarget val="inner"/>
          <c:xMode val="edge"/>
          <c:yMode val="edge"/>
          <c:x val="0.1831840551181102"/>
          <c:y val="0.19344991759750962"/>
          <c:w val="0.75070833333333331"/>
          <c:h val="0.52228834767747057"/>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chemeClr val="accent4"/>
              </a:solidFill>
              <a:ln>
                <a:noFill/>
              </a:ln>
            </c:spPr>
            <c:extLst>
              <c:ext xmlns:c16="http://schemas.microsoft.com/office/drawing/2014/chart" uri="{C3380CC4-5D6E-409C-BE32-E72D297353CC}">
                <c16:uniqueId val="{00000001-ACEA-429F-9ED2-E8B814F58433}"/>
              </c:ext>
            </c:extLst>
          </c:dPt>
          <c:dPt>
            <c:idx val="1"/>
            <c:invertIfNegative val="0"/>
            <c:bubble3D val="0"/>
            <c:spPr>
              <a:solidFill>
                <a:schemeClr val="accent3"/>
              </a:solidFill>
              <a:ln>
                <a:noFill/>
              </a:ln>
            </c:spPr>
            <c:extLst>
              <c:ext xmlns:c16="http://schemas.microsoft.com/office/drawing/2014/chart" uri="{C3380CC4-5D6E-409C-BE32-E72D297353CC}">
                <c16:uniqueId val="{00000003-ACEA-429F-9ED2-E8B814F58433}"/>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spec!$J$3:$J$4</c:f>
              <c:strCache>
                <c:ptCount val="2"/>
                <c:pt idx="0">
                  <c:v>School</c:v>
                </c:pt>
                <c:pt idx="1">
                  <c:v>State</c:v>
                </c:pt>
              </c:strCache>
            </c:strRef>
          </c:cat>
          <c:val>
            <c:numRef>
              <c:f>spec!$C$14:$C$15</c:f>
              <c:numCache>
                <c:formatCode>0.0%</c:formatCode>
                <c:ptCount val="2"/>
                <c:pt idx="0">
                  <c:v>0.83099999999999996</c:v>
                </c:pt>
                <c:pt idx="1">
                  <c:v>0.64900000000000002</c:v>
                </c:pt>
              </c:numCache>
            </c:numRef>
          </c:val>
          <c:extLst>
            <c:ext xmlns:c16="http://schemas.microsoft.com/office/drawing/2014/chart" uri="{C3380CC4-5D6E-409C-BE32-E72D297353CC}">
              <c16:uniqueId val="{00000004-ACEA-429F-9ED2-E8B814F5843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endorsement</a:t>
                </a:r>
              </a:p>
            </c:rich>
          </c:tx>
          <c:layout>
            <c:manualLayout>
              <c:xMode val="edge"/>
              <c:yMode val="edge"/>
              <c:x val="0.3784046742296881"/>
              <c:y val="0.8628700482207167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US" sz="900" b="1" i="0" baseline="0">
                <a:latin typeface="Arial" panose="020B0604020202020204" pitchFamily="34" charset="0"/>
              </a:rPr>
              <a:t>English (Latest year)</a:t>
            </a:r>
          </a:p>
        </c:rich>
      </c:tx>
      <c:layout>
        <c:manualLayout>
          <c:xMode val="edge"/>
          <c:yMode val="edge"/>
          <c:x val="0.47392113284226567"/>
          <c:y val="2.5147926833720746E-2"/>
        </c:manualLayout>
      </c:layout>
      <c:overlay val="0"/>
      <c:spPr>
        <a:noFill/>
        <a:ln>
          <a:noFill/>
        </a:ln>
      </c:spPr>
    </c:title>
    <c:autoTitleDeleted val="0"/>
    <c:plotArea>
      <c:layout>
        <c:manualLayout>
          <c:layoutTarget val="inner"/>
          <c:xMode val="edge"/>
          <c:yMode val="edge"/>
          <c:x val="0.25926953687240706"/>
          <c:y val="8.2531191480721064E-2"/>
          <c:w val="0.69366734400135466"/>
          <c:h val="0.80932976679350488"/>
        </c:manualLayout>
      </c:layout>
      <c:barChart>
        <c:barDir val="bar"/>
        <c:grouping val="clustered"/>
        <c:varyColors val="0"/>
        <c:ser>
          <c:idx val="0"/>
          <c:order val="0"/>
          <c:tx>
            <c:strRef>
              <c:f>spec!$B$25:$B$26</c:f>
              <c:strCache>
                <c:ptCount val="2"/>
                <c:pt idx="0">
                  <c:v>TJ</c:v>
                </c:pt>
                <c:pt idx="1">
                  <c:v>English</c:v>
                </c:pt>
              </c:strCache>
            </c:strRef>
          </c:tx>
          <c:spPr>
            <a:solidFill>
              <a:schemeClr val="accent4"/>
            </a:solidFill>
            <a:ln>
              <a:noFill/>
            </a:ln>
          </c:spPr>
          <c:invertIfNegative val="0"/>
          <c:dLbls>
            <c:numFmt formatCode="#.0%;#.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spec!$A$27:$A$44</c:f>
              <c:strCache>
                <c:ptCount val="18"/>
                <c:pt idx="0">
                  <c:v>A</c:v>
                </c:pt>
                <c:pt idx="1">
                  <c:v>B</c:v>
                </c:pt>
                <c:pt idx="2">
                  <c:v>C</c:v>
                </c:pt>
                <c:pt idx="3">
                  <c:v>D</c:v>
                </c:pt>
                <c:pt idx="4">
                  <c:v>0.5</c:v>
                </c:pt>
                <c:pt idx="5">
                  <c:v>F to F.5</c:v>
                </c:pt>
                <c:pt idx="6">
                  <c:v>1 to 1.5</c:v>
                </c:pt>
                <c:pt idx="7">
                  <c:v>2 to 2.5</c:v>
                </c:pt>
                <c:pt idx="8">
                  <c:v>3 to 3.5</c:v>
                </c:pt>
                <c:pt idx="9">
                  <c:v>4 to 4.5</c:v>
                </c:pt>
                <c:pt idx="10">
                  <c:v>5 to 5.5</c:v>
                </c:pt>
                <c:pt idx="11">
                  <c:v>6 to 6.5</c:v>
                </c:pt>
                <c:pt idx="12">
                  <c:v>7 to 7.5</c:v>
                </c:pt>
                <c:pt idx="13">
                  <c:v>8 to 8.5</c:v>
                </c:pt>
                <c:pt idx="14">
                  <c:v>9 to 9.5</c:v>
                </c:pt>
                <c:pt idx="15">
                  <c:v>10 to 10.5</c:v>
                </c:pt>
                <c:pt idx="16">
                  <c:v>11 to 11.5</c:v>
                </c:pt>
                <c:pt idx="17">
                  <c:v>NA</c:v>
                </c:pt>
              </c:strCache>
            </c:strRef>
          </c:cat>
          <c:val>
            <c:numRef>
              <c:f>spec!$B$27:$B$44</c:f>
              <c:numCache>
                <c:formatCode>0.0%</c:formatCode>
                <c:ptCount val="18"/>
                <c:pt idx="0">
                  <c:v>0.02</c:v>
                </c:pt>
                <c:pt idx="1">
                  <c:v>0</c:v>
                </c:pt>
                <c:pt idx="2">
                  <c:v>5.3999999999999999E-2</c:v>
                </c:pt>
                <c:pt idx="3">
                  <c:v>6.0999999999999999E-2</c:v>
                </c:pt>
                <c:pt idx="4">
                  <c:v>6.0999999999999999E-2</c:v>
                </c:pt>
                <c:pt idx="5">
                  <c:v>0.23100000000000001</c:v>
                </c:pt>
                <c:pt idx="6">
                  <c:v>0.109</c:v>
                </c:pt>
                <c:pt idx="7">
                  <c:v>0.156</c:v>
                </c:pt>
                <c:pt idx="8">
                  <c:v>0.17</c:v>
                </c:pt>
                <c:pt idx="9">
                  <c:v>0.122</c:v>
                </c:pt>
                <c:pt idx="10">
                  <c:v>1.4E-2</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8CD8-473C-8D8D-5A7DB4927D11}"/>
            </c:ext>
          </c:extLst>
        </c:ser>
        <c:dLbls>
          <c:showLegendKey val="0"/>
          <c:showVal val="0"/>
          <c:showCatName val="0"/>
          <c:showSerName val="0"/>
          <c:showPercent val="0"/>
          <c:showBubbleSize val="0"/>
        </c:dLbls>
        <c:gapWidth val="5"/>
        <c:overlap val="100"/>
        <c:axId val="34861519"/>
        <c:axId val="1615755471"/>
      </c:barChart>
      <c:catAx>
        <c:axId val="34861519"/>
        <c:scaling>
          <c:orientation val="maxMin"/>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Achievement Level</a:t>
                </a:r>
              </a:p>
            </c:rich>
          </c:tx>
          <c:overlay val="0"/>
          <c:spPr>
            <a:noFill/>
            <a:ln>
              <a:noFill/>
            </a:ln>
          </c:spPr>
        </c:title>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615755471"/>
        <c:crosses val="autoZero"/>
        <c:auto val="1"/>
        <c:lblAlgn val="ctr"/>
        <c:lblOffset val="100"/>
        <c:noMultiLvlLbl val="0"/>
      </c:catAx>
      <c:valAx>
        <c:axId val="1615755471"/>
        <c:scaling>
          <c:orientation val="minMax"/>
          <c:max val="1"/>
          <c:min val="0"/>
        </c:scaling>
        <c:delete val="0"/>
        <c:axPos val="t"/>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results</a:t>
                </a:r>
              </a:p>
            </c:rich>
          </c:tx>
          <c:layout>
            <c:manualLayout>
              <c:xMode val="edge"/>
              <c:yMode val="edge"/>
              <c:x val="0.50129349758699515"/>
              <c:y val="0.95093234674877403"/>
            </c:manualLayout>
          </c:layout>
          <c:overlay val="0"/>
          <c:spPr>
            <a:noFill/>
            <a:ln>
              <a:noFill/>
            </a:ln>
          </c:spPr>
        </c:title>
        <c:numFmt formatCode="0%" sourceLinked="0"/>
        <c:majorTickMark val="none"/>
        <c:minorTickMark val="none"/>
        <c:tickLblPos val="high"/>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4861519"/>
        <c:crosses val="autoZero"/>
        <c:crossBetween val="between"/>
      </c:valAx>
      <c:spPr>
        <a:noFill/>
        <a:ln>
          <a:solidFill>
            <a:schemeClr val="bg1">
              <a:lumMod val="75000"/>
            </a:schemeClr>
          </a:solidFill>
        </a:ln>
      </c:spPr>
    </c:plotArea>
    <c:plotVisOnly val="1"/>
    <c:dispBlanksAs val="gap"/>
    <c:showDLblsOverMax val="0"/>
  </c:chart>
  <c:spPr>
    <a:noFill/>
    <a:ln w="9525">
      <a:noFill/>
      <a:round/>
    </a:ln>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US" sz="900" b="1" i="0" baseline="0">
                <a:latin typeface="Arial" panose="020B0604020202020204" pitchFamily="34" charset="0"/>
              </a:rPr>
              <a:t>Mathematics (Latest year)</a:t>
            </a:r>
          </a:p>
        </c:rich>
      </c:tx>
      <c:layout>
        <c:manualLayout>
          <c:xMode val="edge"/>
          <c:yMode val="edge"/>
          <c:x val="0.42545691163604543"/>
          <c:y val="3.8145204290408581E-2"/>
        </c:manualLayout>
      </c:layout>
      <c:overlay val="0"/>
      <c:spPr>
        <a:noFill/>
        <a:ln>
          <a:noFill/>
        </a:ln>
      </c:spPr>
    </c:title>
    <c:autoTitleDeleted val="0"/>
    <c:plotArea>
      <c:layout>
        <c:manualLayout>
          <c:layoutTarget val="inner"/>
          <c:xMode val="edge"/>
          <c:yMode val="edge"/>
          <c:x val="0.23325790158583118"/>
          <c:y val="9.4510261020522041E-2"/>
          <c:w val="0.7125546806649169"/>
          <c:h val="0.80327876996448"/>
        </c:manualLayout>
      </c:layout>
      <c:barChart>
        <c:barDir val="bar"/>
        <c:grouping val="clustered"/>
        <c:varyColors val="0"/>
        <c:ser>
          <c:idx val="0"/>
          <c:order val="0"/>
          <c:tx>
            <c:strRef>
              <c:f>spec!$D$25:$D$26</c:f>
              <c:strCache>
                <c:ptCount val="2"/>
                <c:pt idx="0">
                  <c:v>TJ</c:v>
                </c:pt>
                <c:pt idx="1">
                  <c:v>Maths</c:v>
                </c:pt>
              </c:strCache>
            </c:strRef>
          </c:tx>
          <c:spPr>
            <a:solidFill>
              <a:schemeClr val="accent4"/>
            </a:solidFill>
            <a:ln>
              <a:noFill/>
            </a:ln>
          </c:spPr>
          <c:invertIfNegative val="0"/>
          <c:dLbls>
            <c:numFmt formatCode="#.0%;#.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spec!$A$27:$A$44</c:f>
              <c:strCache>
                <c:ptCount val="18"/>
                <c:pt idx="0">
                  <c:v>A</c:v>
                </c:pt>
                <c:pt idx="1">
                  <c:v>B</c:v>
                </c:pt>
                <c:pt idx="2">
                  <c:v>C</c:v>
                </c:pt>
                <c:pt idx="3">
                  <c:v>D</c:v>
                </c:pt>
                <c:pt idx="4">
                  <c:v>0.5</c:v>
                </c:pt>
                <c:pt idx="5">
                  <c:v>F to F.5</c:v>
                </c:pt>
                <c:pt idx="6">
                  <c:v>1 to 1.5</c:v>
                </c:pt>
                <c:pt idx="7">
                  <c:v>2 to 2.5</c:v>
                </c:pt>
                <c:pt idx="8">
                  <c:v>3 to 3.5</c:v>
                </c:pt>
                <c:pt idx="9">
                  <c:v>4 to 4.5</c:v>
                </c:pt>
                <c:pt idx="10">
                  <c:v>5 to 5.5</c:v>
                </c:pt>
                <c:pt idx="11">
                  <c:v>6 to 6.5</c:v>
                </c:pt>
                <c:pt idx="12">
                  <c:v>7 to 7.5</c:v>
                </c:pt>
                <c:pt idx="13">
                  <c:v>8 to 8.5</c:v>
                </c:pt>
                <c:pt idx="14">
                  <c:v>9 to 9.5</c:v>
                </c:pt>
                <c:pt idx="15">
                  <c:v>10 to 10.5</c:v>
                </c:pt>
                <c:pt idx="16">
                  <c:v>11 to 11.5</c:v>
                </c:pt>
                <c:pt idx="17">
                  <c:v>NA</c:v>
                </c:pt>
              </c:strCache>
            </c:strRef>
          </c:cat>
          <c:val>
            <c:numRef>
              <c:f>spec!$C$27:$C$44</c:f>
              <c:numCache>
                <c:formatCode>0.0%</c:formatCode>
                <c:ptCount val="18"/>
                <c:pt idx="0">
                  <c:v>0.02</c:v>
                </c:pt>
                <c:pt idx="1">
                  <c:v>0</c:v>
                </c:pt>
                <c:pt idx="2">
                  <c:v>3.4000000000000002E-2</c:v>
                </c:pt>
                <c:pt idx="3">
                  <c:v>8.7999999999999995E-2</c:v>
                </c:pt>
                <c:pt idx="4">
                  <c:v>1.4E-2</c:v>
                </c:pt>
                <c:pt idx="5">
                  <c:v>0.224</c:v>
                </c:pt>
                <c:pt idx="6">
                  <c:v>0.156</c:v>
                </c:pt>
                <c:pt idx="7">
                  <c:v>0.19</c:v>
                </c:pt>
                <c:pt idx="8">
                  <c:v>0.17</c:v>
                </c:pt>
                <c:pt idx="9">
                  <c:v>0.10199999999999999</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59A0-4EB9-830D-724A24285400}"/>
            </c:ext>
          </c:extLst>
        </c:ser>
        <c:dLbls>
          <c:showLegendKey val="0"/>
          <c:showVal val="0"/>
          <c:showCatName val="0"/>
          <c:showSerName val="0"/>
          <c:showPercent val="0"/>
          <c:showBubbleSize val="0"/>
        </c:dLbls>
        <c:gapWidth val="5"/>
        <c:overlap val="100"/>
        <c:axId val="34861519"/>
        <c:axId val="1615755471"/>
      </c:barChart>
      <c:catAx>
        <c:axId val="34861519"/>
        <c:scaling>
          <c:orientation val="maxMin"/>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Achievement Level</a:t>
                </a:r>
              </a:p>
            </c:rich>
          </c:tx>
          <c:overlay val="0"/>
          <c:spPr>
            <a:noFill/>
            <a:ln>
              <a:noFill/>
            </a:ln>
          </c:spPr>
        </c:title>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615755471"/>
        <c:crosses val="autoZero"/>
        <c:auto val="1"/>
        <c:lblAlgn val="ctr"/>
        <c:lblOffset val="100"/>
        <c:noMultiLvlLbl val="0"/>
      </c:catAx>
      <c:valAx>
        <c:axId val="1615755471"/>
        <c:scaling>
          <c:orientation val="minMax"/>
          <c:max val="1"/>
          <c:min val="0"/>
        </c:scaling>
        <c:delete val="0"/>
        <c:axPos val="t"/>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results</a:t>
                </a:r>
              </a:p>
            </c:rich>
          </c:tx>
          <c:layout>
            <c:manualLayout>
              <c:xMode val="edge"/>
              <c:yMode val="edge"/>
              <c:x val="0.50170069715497601"/>
              <c:y val="0.95347551907402495"/>
            </c:manualLayout>
          </c:layout>
          <c:overlay val="0"/>
          <c:spPr>
            <a:noFill/>
            <a:ln>
              <a:noFill/>
            </a:ln>
          </c:spPr>
        </c:title>
        <c:numFmt formatCode="0%" sourceLinked="0"/>
        <c:majorTickMark val="none"/>
        <c:minorTickMark val="none"/>
        <c:tickLblPos val="high"/>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34861519"/>
        <c:crosses val="autoZero"/>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EF1A5CD6-AA6C-4BE3-828C-139AD76D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3613</Words>
  <Characters>20600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 Maniatakis</dc:creator>
  <cp:lastModifiedBy>Wendy Coyle</cp:lastModifiedBy>
  <cp:revision>2</cp:revision>
  <dcterms:created xsi:type="dcterms:W3CDTF">2022-05-23T04:00:00Z</dcterms:created>
  <dcterms:modified xsi:type="dcterms:W3CDTF">2022-05-23T04:00:00Z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