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70D" w:rsidRDefault="00E32BE3" w:rsidP="00A66941">
      <w:pPr>
        <w:ind w:right="419"/>
        <w:rPr>
          <w:b/>
          <w:color w:val="AF272F"/>
          <w:sz w:val="36"/>
          <w:szCs w:val="44"/>
        </w:rPr>
      </w:pPr>
      <w:bookmarkStart w:id="0" w:name="_GoBack"/>
      <w:bookmarkEnd w:id="0"/>
      <w:r>
        <w:rPr>
          <w:noProof/>
          <w:lang w:val="en-AU" w:eastAsia="en-AU"/>
        </w:rPr>
        <w:drawing>
          <wp:anchor distT="0" distB="0" distL="114300" distR="114300" simplePos="0" relativeHeight="251662336" behindDoc="1" locked="0" layoutInCell="1" allowOverlap="1">
            <wp:simplePos x="0" y="0"/>
            <wp:positionH relativeFrom="column">
              <wp:posOffset>4791075</wp:posOffset>
            </wp:positionH>
            <wp:positionV relativeFrom="paragraph">
              <wp:posOffset>24130</wp:posOffset>
            </wp:positionV>
            <wp:extent cx="1854835" cy="627380"/>
            <wp:effectExtent l="0" t="0" r="0" b="1270"/>
            <wp:wrapNone/>
            <wp:docPr id="3" name="img9.png"/>
            <wp:cNvGraphicFramePr/>
            <a:graphic xmlns:a="http://schemas.openxmlformats.org/drawingml/2006/main">
              <a:graphicData uri="http://schemas.openxmlformats.org/drawingml/2006/picture">
                <pic:pic xmlns:pic="http://schemas.openxmlformats.org/drawingml/2006/picture">
                  <pic:nvPicPr>
                    <pic:cNvPr id="7" name="img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4835" cy="627380"/>
                    </a:xfrm>
                    <a:prstGeom prst="rect">
                      <a:avLst/>
                    </a:prstGeom>
                  </pic:spPr>
                </pic:pic>
              </a:graphicData>
            </a:graphic>
          </wp:anchor>
        </w:drawing>
      </w:r>
      <w:r w:rsidRPr="003E2621">
        <w:rPr>
          <w:b/>
          <w:noProof/>
          <w:color w:val="AF272F"/>
          <w:sz w:val="36"/>
          <w:szCs w:val="36"/>
        </w:rPr>
        <w:t>2019</w:t>
      </w:r>
      <w:r>
        <w:rPr>
          <w:b/>
          <w:color w:val="AF272F"/>
          <w:sz w:val="36"/>
          <w:szCs w:val="36"/>
        </w:rPr>
        <w:t xml:space="preserve"> </w:t>
      </w:r>
      <w:r w:rsidRPr="003E2621">
        <w:rPr>
          <w:b/>
          <w:color w:val="AF272F"/>
          <w:sz w:val="36"/>
          <w:szCs w:val="44"/>
        </w:rPr>
        <w:t xml:space="preserve">Annual </w:t>
      </w:r>
      <w:r>
        <w:rPr>
          <w:b/>
          <w:color w:val="AF272F"/>
          <w:sz w:val="36"/>
          <w:szCs w:val="44"/>
        </w:rPr>
        <w:t>Report to</w:t>
      </w:r>
    </w:p>
    <w:p w:rsidR="00B076DB" w:rsidRDefault="00E32BE3" w:rsidP="00A66941">
      <w:pPr>
        <w:ind w:right="419"/>
        <w:rPr>
          <w:color w:val="595959" w:themeColor="text1" w:themeTint="A6"/>
          <w:sz w:val="28"/>
          <w:szCs w:val="28"/>
        </w:rPr>
      </w:pPr>
      <w:r>
        <w:rPr>
          <w:noProof/>
          <w:lang w:val="en-AU" w:eastAsia="en-AU"/>
        </w:rPr>
        <mc:AlternateContent>
          <mc:Choice Requires="wps">
            <w:drawing>
              <wp:anchor distT="0" distB="0" distL="114300" distR="114300" simplePos="0" relativeHeight="251659264" behindDoc="0" locked="0" layoutInCell="1" allowOverlap="1">
                <wp:simplePos x="0" y="0"/>
                <wp:positionH relativeFrom="margin">
                  <wp:posOffset>-71120</wp:posOffset>
                </wp:positionH>
                <wp:positionV relativeFrom="paragraph">
                  <wp:posOffset>2662250</wp:posOffset>
                </wp:positionV>
                <wp:extent cx="7147560" cy="52793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7560" cy="5279390"/>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
                              <w:tblW w:w="10773"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773"/>
                            </w:tblGrid>
                            <w:tr w:rsidR="00C440C6" w:rsidTr="00130771">
                              <w:trPr>
                                <w:trHeight w:val="18"/>
                              </w:trPr>
                              <w:tc>
                                <w:tcPr>
                                  <w:tcW w:w="10773" w:type="dxa"/>
                                  <w:vAlign w:val="center"/>
                                </w:tcPr>
                                <w:p w:rsidR="00B576DE" w:rsidRPr="009D4C10" w:rsidRDefault="00E32BE3" w:rsidP="007C1665">
                                  <w:pPr>
                                    <w:numPr>
                                      <w:ilvl w:val="0"/>
                                      <w:numId w:val="25"/>
                                    </w:numPr>
                                    <w:spacing w:after="0" w:line="240" w:lineRule="auto"/>
                                    <w:ind w:left="301"/>
                                  </w:pPr>
                                  <w:r w:rsidRPr="009D4C10">
                                    <w:t>All teachers at the school meet the registration requirements of the Victorian Institute of Teaching (</w:t>
                                  </w:r>
                                  <w:hyperlink r:id="rId13" w:tgtFrame="_blank" w:history="1">
                                    <w:r w:rsidRPr="009D4C10">
                                      <w:rPr>
                                        <w:rStyle w:val="Hyperlink"/>
                                      </w:rPr>
                                      <w:t>www.vit.vic.edu.au</w:t>
                                    </w:r>
                                  </w:hyperlink>
                                  <w:r w:rsidRPr="009D4C10">
                                    <w:t>).</w:t>
                                  </w:r>
                                </w:p>
                                <w:p w:rsidR="00B576DE" w:rsidRPr="009D4C10" w:rsidRDefault="00E32BE3" w:rsidP="007C1665">
                                  <w:pPr>
                                    <w:numPr>
                                      <w:ilvl w:val="0"/>
                                      <w:numId w:val="25"/>
                                    </w:numPr>
                                    <w:spacing w:after="0" w:line="240" w:lineRule="auto"/>
                                    <w:ind w:left="301"/>
                                  </w:pPr>
                                  <w:r w:rsidRPr="009D4C10">
                                    <w:t xml:space="preserve">The school meets prescribed minimum standards for registration as regulated by the Victorian </w:t>
                                  </w:r>
                                  <w:r>
                                    <w:t>Registration</w:t>
                                  </w:r>
                                  <w:r w:rsidRPr="009D4C10">
                                    <w:t xml:space="preserve"> and Qualifications Authority (VRQA) in accordance with the </w:t>
                                  </w:r>
                                  <w:r w:rsidRPr="003E03A7">
                                    <w:rPr>
                                      <w:i/>
                                      <w:iCs/>
                                    </w:rPr>
                                    <w:t>Education and Training Reform (ETR) Act 2006</w:t>
                                  </w:r>
                                  <w:r w:rsidRPr="009D4C10">
                                    <w:t>. This includes schools granted an exemption by</w:t>
                                  </w:r>
                                  <w:r w:rsidRPr="009D4C10">
                                    <w:t xml:space="preserve"> the VRQA until 31 December </w:t>
                                  </w:r>
                                  <w:r w:rsidRPr="00875D00">
                                    <w:rPr>
                                      <w:noProof/>
                                    </w:rPr>
                                    <w:t>2019</w:t>
                                  </w:r>
                                  <w:r w:rsidRPr="00875D00">
                                    <w:t xml:space="preserve"> from</w:t>
                                  </w:r>
                                  <w:r w:rsidRPr="009D4C10">
                                    <w:t xml:space="preserve"> the minimum standards for student enrolment numbers and/or curriculum framework for school language program.</w:t>
                                  </w:r>
                                </w:p>
                                <w:p w:rsidR="00B576DE" w:rsidRDefault="00E32BE3" w:rsidP="007C1665">
                                  <w:pPr>
                                    <w:numPr>
                                      <w:ilvl w:val="0"/>
                                      <w:numId w:val="25"/>
                                    </w:numPr>
                                    <w:spacing w:after="0" w:line="240" w:lineRule="auto"/>
                                    <w:ind w:left="301"/>
                                    <w:rPr>
                                      <w:color w:val="333333"/>
                                      <w:sz w:val="16"/>
                                      <w:szCs w:val="16"/>
                                    </w:rPr>
                                  </w:pPr>
                                  <w:r w:rsidRPr="009D4C10">
                                    <w:t xml:space="preserve">The school is compliant with the Child Safe Standards prescribed in </w:t>
                                  </w:r>
                                  <w:r w:rsidRPr="00BB2D86">
                                    <w:rPr>
                                      <w:i/>
                                      <w:iCs/>
                                    </w:rPr>
                                    <w:t>Ministerial Order No. 870 – Child Safe St</w:t>
                                  </w:r>
                                  <w:r w:rsidRPr="00BB2D86">
                                    <w:rPr>
                                      <w:i/>
                                      <w:iCs/>
                                    </w:rPr>
                                    <w:t>andards, Managing Risk of Child Abuse in School</w:t>
                                  </w:r>
                                  <w:r>
                                    <w:t>.</w:t>
                                  </w:r>
                                </w:p>
                              </w:tc>
                            </w:tr>
                            <w:tr w:rsidR="00C440C6" w:rsidTr="00130771">
                              <w:trPr>
                                <w:trHeight w:val="48"/>
                              </w:trPr>
                              <w:tc>
                                <w:tcPr>
                                  <w:tcW w:w="10773" w:type="dxa"/>
                                </w:tcPr>
                                <w:p w:rsidR="00B576DE" w:rsidRDefault="00E32BE3" w:rsidP="007C1665">
                                  <w:pPr>
                                    <w:shd w:val="clear" w:color="auto" w:fill="FFFFFF"/>
                                    <w:tabs>
                                      <w:tab w:val="num" w:pos="2880"/>
                                    </w:tabs>
                                    <w:spacing w:before="100" w:after="100" w:afterAutospacing="1"/>
                                    <w:ind w:left="-113"/>
                                    <w:rPr>
                                      <w:rFonts w:eastAsia="Arial"/>
                                      <w:color w:val="AF272F"/>
                                      <w:sz w:val="22"/>
                                      <w:szCs w:val="22"/>
                                    </w:rPr>
                                  </w:pPr>
                                  <w:r w:rsidRPr="004C76A5">
                                    <w:rPr>
                                      <w:rFonts w:eastAsia="Arial"/>
                                      <w:noProof/>
                                      <w:color w:val="AF272F"/>
                                    </w:rPr>
                                    <w:t>Attested on 05 June 2020 at 11:44 AM by Kylie Carter (Principal)</w:t>
                                  </w:r>
                                </w:p>
                              </w:tc>
                            </w:tr>
                          </w:tbl>
                          <w:p w:rsidR="00B576DE" w:rsidRDefault="00E32BE3" w:rsidP="00177D7F"/>
                          <w:tbl>
                            <w:tblPr>
                              <w:tblStyle w:val="TableGrid"/>
                              <w:tblW w:w="10773"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773"/>
                            </w:tblGrid>
                            <w:tr w:rsidR="00C440C6" w:rsidTr="00130771">
                              <w:trPr>
                                <w:trHeight w:val="114"/>
                              </w:trPr>
                              <w:tc>
                                <w:tcPr>
                                  <w:tcW w:w="10773" w:type="dxa"/>
                                  <w:vAlign w:val="center"/>
                                </w:tcPr>
                                <w:p w:rsidR="00B576DE" w:rsidRPr="00B576DE" w:rsidRDefault="00E32BE3" w:rsidP="00B576DE">
                                  <w:pPr>
                                    <w:spacing w:after="0" w:line="240" w:lineRule="auto"/>
                                  </w:pPr>
                                  <w:r w:rsidRPr="00B576DE">
                                    <w:t>The</w:t>
                                  </w:r>
                                  <w:r w:rsidRPr="009D4C10">
                                    <w:t xml:space="preserve"> </w:t>
                                  </w:r>
                                  <w:r w:rsidRPr="00875D00">
                                    <w:rPr>
                                      <w:noProof/>
                                    </w:rPr>
                                    <w:t>2019</w:t>
                                  </w:r>
                                  <w:r w:rsidRPr="00875D00">
                                    <w:t xml:space="preserve"> </w:t>
                                  </w:r>
                                  <w:r w:rsidRPr="00B576DE">
                                    <w:t>Annual Report to the school community:</w:t>
                                  </w:r>
                                </w:p>
                                <w:p w:rsidR="00B576DE" w:rsidRPr="009D4C10" w:rsidRDefault="00E32BE3" w:rsidP="007C1665">
                                  <w:pPr>
                                    <w:numPr>
                                      <w:ilvl w:val="0"/>
                                      <w:numId w:val="26"/>
                                    </w:numPr>
                                    <w:spacing w:after="0" w:line="240" w:lineRule="auto"/>
                                    <w:ind w:left="301"/>
                                    <w:rPr>
                                      <w:color w:val="333333"/>
                                    </w:rPr>
                                  </w:pPr>
                                  <w:r w:rsidRPr="00B576DE">
                                    <w:rPr>
                                      <w:color w:val="333333"/>
                                    </w:rPr>
                                    <w:t>has been tabled and endorsed at a meeting of the school council</w:t>
                                  </w:r>
                                </w:p>
                                <w:p w:rsidR="00B576DE" w:rsidRDefault="00E32BE3" w:rsidP="007C1665">
                                  <w:pPr>
                                    <w:numPr>
                                      <w:ilvl w:val="0"/>
                                      <w:numId w:val="26"/>
                                    </w:numPr>
                                    <w:spacing w:after="0" w:line="240" w:lineRule="auto"/>
                                    <w:ind w:left="301"/>
                                    <w:rPr>
                                      <w:color w:val="333333"/>
                                      <w:sz w:val="16"/>
                                      <w:szCs w:val="16"/>
                                    </w:rPr>
                                  </w:pPr>
                                  <w:r w:rsidRPr="00B576DE">
                                    <w:rPr>
                                      <w:color w:val="333333"/>
                                    </w:rPr>
                                    <w:t xml:space="preserve">will be publicly shared </w:t>
                                  </w:r>
                                  <w:r w:rsidRPr="00B576DE">
                                    <w:rPr>
                                      <w:color w:val="333333"/>
                                    </w:rPr>
                                    <w:t>with the school community</w:t>
                                  </w:r>
                                  <w:r>
                                    <w:rPr>
                                      <w:color w:val="333333"/>
                                    </w:rPr>
                                    <w:t>.</w:t>
                                  </w:r>
                                </w:p>
                              </w:tc>
                            </w:tr>
                            <w:tr w:rsidR="00C440C6" w:rsidTr="00130771">
                              <w:trPr>
                                <w:trHeight w:val="274"/>
                              </w:trPr>
                              <w:tc>
                                <w:tcPr>
                                  <w:tcW w:w="10773" w:type="dxa"/>
                                </w:tcPr>
                                <w:p w:rsidR="00B576DE" w:rsidRDefault="00E32BE3" w:rsidP="007C1665">
                                  <w:pPr>
                                    <w:shd w:val="clear" w:color="auto" w:fill="FFFFFF"/>
                                    <w:tabs>
                                      <w:tab w:val="num" w:pos="2880"/>
                                    </w:tabs>
                                    <w:spacing w:before="100" w:after="100" w:afterAutospacing="1"/>
                                    <w:ind w:left="-113"/>
                                    <w:rPr>
                                      <w:rFonts w:eastAsia="Arial"/>
                                      <w:color w:val="AF272F"/>
                                      <w:sz w:val="22"/>
                                      <w:szCs w:val="22"/>
                                    </w:rPr>
                                  </w:pPr>
                                  <w:r w:rsidRPr="004C76A5">
                                    <w:rPr>
                                      <w:rFonts w:eastAsia="Arial"/>
                                      <w:noProof/>
                                      <w:color w:val="AF272F"/>
                                    </w:rPr>
                                    <w:t>Attested on 19 November 2020 at 05:06 PM by Anthony O'Connor (School Council President)</w:t>
                                  </w:r>
                                </w:p>
                              </w:tc>
                            </w:tr>
                          </w:tbl>
                          <w:p w:rsidR="00B576DE" w:rsidRDefault="00E32BE3" w:rsidP="00177D7F"/>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pt;margin-top:209.65pt;width:562.8pt;height:415.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" filled="f" fillcolor="white [3201]" stroked="f" strokeweight=".5pt">
                <v:textbox>
                  <w:txbxContent>
                    <w:tbl>
                      <w:tblPr>
                        <w:tblStyle w:val="TableGrid"/>
                        <w:tblW w:w="10773"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773"/>
                      </w:tblGrid>
                      <w:tr w:rsidR="00C440C6" w:rsidTr="00130771">
                        <w:trPr>
                          <w:trHeight w:val="18"/>
                        </w:trPr>
                        <w:tc>
                          <w:tcPr>
                            <w:tcW w:w="10773" w:type="dxa"/>
                            <w:vAlign w:val="center"/>
                          </w:tcPr>
                          <w:p w:rsidR="00B576DE" w:rsidRPr="009D4C10" w:rsidRDefault="00E32BE3" w:rsidP="007C1665">
                            <w:pPr>
                              <w:numPr>
                                <w:ilvl w:val="0"/>
                                <w:numId w:val="25"/>
                              </w:numPr>
                              <w:spacing w:after="0" w:line="240" w:lineRule="auto"/>
                              <w:ind w:left="301"/>
                            </w:pPr>
                            <w:r w:rsidRPr="009D4C10">
                              <w:t>All teachers at the school meet the registration requirements of the Victorian Institute of Teaching (</w:t>
                            </w:r>
                            <w:hyperlink r:id="rId14" w:tgtFrame="_blank" w:history="1">
                              <w:r w:rsidRPr="009D4C10">
                                <w:rPr>
                                  <w:rStyle w:val="Hyperlink"/>
                                </w:rPr>
                                <w:t>www.vit.vic.edu.au</w:t>
                              </w:r>
                            </w:hyperlink>
                            <w:r w:rsidRPr="009D4C10">
                              <w:t>).</w:t>
                            </w:r>
                          </w:p>
                          <w:p w:rsidR="00B576DE" w:rsidRPr="009D4C10" w:rsidRDefault="00E32BE3" w:rsidP="007C1665">
                            <w:pPr>
                              <w:numPr>
                                <w:ilvl w:val="0"/>
                                <w:numId w:val="25"/>
                              </w:numPr>
                              <w:spacing w:after="0" w:line="240" w:lineRule="auto"/>
                              <w:ind w:left="301"/>
                            </w:pPr>
                            <w:r w:rsidRPr="009D4C10">
                              <w:t xml:space="preserve">The school meets prescribed minimum standards for registration as regulated by the Victorian </w:t>
                            </w:r>
                            <w:r>
                              <w:t>Registration</w:t>
                            </w:r>
                            <w:r w:rsidRPr="009D4C10">
                              <w:t xml:space="preserve"> and Qualifications Authority (VRQA) in accordance with the </w:t>
                            </w:r>
                            <w:r w:rsidRPr="003E03A7">
                              <w:rPr>
                                <w:i/>
                                <w:iCs/>
                              </w:rPr>
                              <w:t>Education and Training Reform (ETR) Act 2006</w:t>
                            </w:r>
                            <w:r w:rsidRPr="009D4C10">
                              <w:t>. This includes schools granted an exemption by</w:t>
                            </w:r>
                            <w:r w:rsidRPr="009D4C10">
                              <w:t xml:space="preserve"> the VRQA until 31 December </w:t>
                            </w:r>
                            <w:r w:rsidRPr="00875D00">
                              <w:rPr>
                                <w:noProof/>
                              </w:rPr>
                              <w:t>2019</w:t>
                            </w:r>
                            <w:r w:rsidRPr="00875D00">
                              <w:t xml:space="preserve"> from</w:t>
                            </w:r>
                            <w:r w:rsidRPr="009D4C10">
                              <w:t xml:space="preserve"> the minimum standards for student enrolment numbers and/or curriculum framework for school language program.</w:t>
                            </w:r>
                          </w:p>
                          <w:p w:rsidR="00B576DE" w:rsidRDefault="00E32BE3" w:rsidP="007C1665">
                            <w:pPr>
                              <w:numPr>
                                <w:ilvl w:val="0"/>
                                <w:numId w:val="25"/>
                              </w:numPr>
                              <w:spacing w:after="0" w:line="240" w:lineRule="auto"/>
                              <w:ind w:left="301"/>
                              <w:rPr>
                                <w:color w:val="333333"/>
                                <w:sz w:val="16"/>
                                <w:szCs w:val="16"/>
                              </w:rPr>
                            </w:pPr>
                            <w:r w:rsidRPr="009D4C10">
                              <w:t xml:space="preserve">The school is compliant with the Child Safe Standards prescribed in </w:t>
                            </w:r>
                            <w:r w:rsidRPr="00BB2D86">
                              <w:rPr>
                                <w:i/>
                                <w:iCs/>
                              </w:rPr>
                              <w:t>Ministerial Order No. 870 – Child Safe St</w:t>
                            </w:r>
                            <w:r w:rsidRPr="00BB2D86">
                              <w:rPr>
                                <w:i/>
                                <w:iCs/>
                              </w:rPr>
                              <w:t>andards, Managing Risk of Child Abuse in School</w:t>
                            </w:r>
                            <w:r>
                              <w:t>.</w:t>
                            </w:r>
                          </w:p>
                        </w:tc>
                      </w:tr>
                      <w:tr w:rsidR="00C440C6" w:rsidTr="00130771">
                        <w:trPr>
                          <w:trHeight w:val="48"/>
                        </w:trPr>
                        <w:tc>
                          <w:tcPr>
                            <w:tcW w:w="10773" w:type="dxa"/>
                          </w:tcPr>
                          <w:p w:rsidR="00B576DE" w:rsidRDefault="00E32BE3" w:rsidP="007C1665">
                            <w:pPr>
                              <w:shd w:val="clear" w:color="auto" w:fill="FFFFFF"/>
                              <w:tabs>
                                <w:tab w:val="num" w:pos="2880"/>
                              </w:tabs>
                              <w:spacing w:before="100" w:after="100" w:afterAutospacing="1"/>
                              <w:ind w:left="-113"/>
                              <w:rPr>
                                <w:rFonts w:eastAsia="Arial"/>
                                <w:color w:val="AF272F"/>
                                <w:sz w:val="22"/>
                                <w:szCs w:val="22"/>
                              </w:rPr>
                            </w:pPr>
                            <w:r w:rsidRPr="004C76A5">
                              <w:rPr>
                                <w:rFonts w:eastAsia="Arial"/>
                                <w:noProof/>
                                <w:color w:val="AF272F"/>
                              </w:rPr>
                              <w:t>Attested on 05 June 2020 at 11:44 AM by Kylie Carter (Principal)</w:t>
                            </w:r>
                          </w:p>
                        </w:tc>
                      </w:tr>
                    </w:tbl>
                    <w:p w:rsidR="00B576DE" w:rsidRDefault="00E32BE3" w:rsidP="00177D7F"/>
                    <w:tbl>
                      <w:tblPr>
                        <w:tblStyle w:val="TableGrid"/>
                        <w:tblW w:w="10773"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773"/>
                      </w:tblGrid>
                      <w:tr w:rsidR="00C440C6" w:rsidTr="00130771">
                        <w:trPr>
                          <w:trHeight w:val="114"/>
                        </w:trPr>
                        <w:tc>
                          <w:tcPr>
                            <w:tcW w:w="10773" w:type="dxa"/>
                            <w:vAlign w:val="center"/>
                          </w:tcPr>
                          <w:p w:rsidR="00B576DE" w:rsidRPr="00B576DE" w:rsidRDefault="00E32BE3" w:rsidP="00B576DE">
                            <w:pPr>
                              <w:spacing w:after="0" w:line="240" w:lineRule="auto"/>
                            </w:pPr>
                            <w:r w:rsidRPr="00B576DE">
                              <w:t>The</w:t>
                            </w:r>
                            <w:r w:rsidRPr="009D4C10">
                              <w:t xml:space="preserve"> </w:t>
                            </w:r>
                            <w:r w:rsidRPr="00875D00">
                              <w:rPr>
                                <w:noProof/>
                              </w:rPr>
                              <w:t>2019</w:t>
                            </w:r>
                            <w:r w:rsidRPr="00875D00">
                              <w:t xml:space="preserve"> </w:t>
                            </w:r>
                            <w:r w:rsidRPr="00B576DE">
                              <w:t>Annual Report to the school community:</w:t>
                            </w:r>
                          </w:p>
                          <w:p w:rsidR="00B576DE" w:rsidRPr="009D4C10" w:rsidRDefault="00E32BE3" w:rsidP="007C1665">
                            <w:pPr>
                              <w:numPr>
                                <w:ilvl w:val="0"/>
                                <w:numId w:val="26"/>
                              </w:numPr>
                              <w:spacing w:after="0" w:line="240" w:lineRule="auto"/>
                              <w:ind w:left="301"/>
                              <w:rPr>
                                <w:color w:val="333333"/>
                              </w:rPr>
                            </w:pPr>
                            <w:r w:rsidRPr="00B576DE">
                              <w:rPr>
                                <w:color w:val="333333"/>
                              </w:rPr>
                              <w:t>has been tabled and endorsed at a meeting of the school council</w:t>
                            </w:r>
                          </w:p>
                          <w:p w:rsidR="00B576DE" w:rsidRDefault="00E32BE3" w:rsidP="007C1665">
                            <w:pPr>
                              <w:numPr>
                                <w:ilvl w:val="0"/>
                                <w:numId w:val="26"/>
                              </w:numPr>
                              <w:spacing w:after="0" w:line="240" w:lineRule="auto"/>
                              <w:ind w:left="301"/>
                              <w:rPr>
                                <w:color w:val="333333"/>
                                <w:sz w:val="16"/>
                                <w:szCs w:val="16"/>
                              </w:rPr>
                            </w:pPr>
                            <w:r w:rsidRPr="00B576DE">
                              <w:rPr>
                                <w:color w:val="333333"/>
                              </w:rPr>
                              <w:t xml:space="preserve">will be publicly shared </w:t>
                            </w:r>
                            <w:r w:rsidRPr="00B576DE">
                              <w:rPr>
                                <w:color w:val="333333"/>
                              </w:rPr>
                              <w:t>with the school community</w:t>
                            </w:r>
                            <w:r>
                              <w:rPr>
                                <w:color w:val="333333"/>
                              </w:rPr>
                              <w:t>.</w:t>
                            </w:r>
                          </w:p>
                        </w:tc>
                      </w:tr>
                      <w:tr w:rsidR="00C440C6" w:rsidTr="00130771">
                        <w:trPr>
                          <w:trHeight w:val="274"/>
                        </w:trPr>
                        <w:tc>
                          <w:tcPr>
                            <w:tcW w:w="10773" w:type="dxa"/>
                          </w:tcPr>
                          <w:p w:rsidR="00B576DE" w:rsidRDefault="00E32BE3" w:rsidP="007C1665">
                            <w:pPr>
                              <w:shd w:val="clear" w:color="auto" w:fill="FFFFFF"/>
                              <w:tabs>
                                <w:tab w:val="num" w:pos="2880"/>
                              </w:tabs>
                              <w:spacing w:before="100" w:after="100" w:afterAutospacing="1"/>
                              <w:ind w:left="-113"/>
                              <w:rPr>
                                <w:rFonts w:eastAsia="Arial"/>
                                <w:color w:val="AF272F"/>
                                <w:sz w:val="22"/>
                                <w:szCs w:val="22"/>
                              </w:rPr>
                            </w:pPr>
                            <w:r w:rsidRPr="004C76A5">
                              <w:rPr>
                                <w:rFonts w:eastAsia="Arial"/>
                                <w:noProof/>
                                <w:color w:val="AF272F"/>
                              </w:rPr>
                              <w:t>Attested on 19 November 2020 at 05:06 PM by Anthony O'Connor (School Council President)</w:t>
                            </w:r>
                          </w:p>
                        </w:tc>
                      </w:tr>
                    </w:tbl>
                    <w:p w:rsidR="00B576DE" w:rsidRDefault="00E32BE3" w:rsidP="00177D7F"/>
                  </w:txbxContent>
                </v:textbox>
                <w10:wrap anchorx="margin"/>
              </v:shape>
            </w:pict>
          </mc:Fallback>
        </mc:AlternateContent>
      </w:r>
      <w:r w:rsidRPr="00BE480F">
        <w:rPr>
          <w:noProof/>
          <w:lang w:val="en-AU" w:eastAsia="en-AU"/>
        </w:rPr>
        <w:drawing>
          <wp:anchor distT="0" distB="0" distL="114300" distR="114300" simplePos="0" relativeHeight="251661312" behindDoc="1" locked="0" layoutInCell="1" allowOverlap="1">
            <wp:simplePos x="0" y="0"/>
            <wp:positionH relativeFrom="margin">
              <wp:posOffset>-354965</wp:posOffset>
            </wp:positionH>
            <wp:positionV relativeFrom="paragraph">
              <wp:posOffset>5173345</wp:posOffset>
            </wp:positionV>
            <wp:extent cx="1819275" cy="4406265"/>
            <wp:effectExtent l="0" t="0" r="9525" b="0"/>
            <wp:wrapNone/>
            <wp:docPr id="5" name="img10.png"/>
            <wp:cNvGraphicFramePr/>
            <a:graphic xmlns:a="http://schemas.openxmlformats.org/drawingml/2006/main">
              <a:graphicData uri="http://schemas.openxmlformats.org/drawingml/2006/picture">
                <pic:pic xmlns:pic="http://schemas.openxmlformats.org/drawingml/2006/picture">
                  <pic:nvPicPr>
                    <pic:cNvPr id="9" name="img1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19275" cy="4406265"/>
                    </a:xfrm>
                    <a:prstGeom prst="rect">
                      <a:avLst/>
                    </a:prstGeom>
                  </pic:spPr>
                </pic:pic>
              </a:graphicData>
            </a:graphic>
          </wp:anchor>
        </w:drawing>
      </w:r>
      <w:r>
        <w:rPr>
          <w:b/>
          <w:color w:val="AF272F"/>
          <w:sz w:val="36"/>
          <w:szCs w:val="44"/>
        </w:rPr>
        <w:t>The School Community</w:t>
      </w:r>
      <w:r>
        <w:rPr>
          <w:b/>
          <w:color w:val="AF272F"/>
          <w:sz w:val="36"/>
          <w:szCs w:val="44"/>
        </w:rPr>
        <w:br/>
      </w:r>
      <w:r>
        <w:rPr>
          <w:b/>
          <w:color w:val="AF272F"/>
          <w:sz w:val="32"/>
          <w:szCs w:val="32"/>
        </w:rPr>
        <w:br/>
      </w:r>
      <w:r w:rsidRPr="009B22B6">
        <w:rPr>
          <w:b/>
          <w:noProof/>
          <w:color w:val="AF272F"/>
          <w:sz w:val="28"/>
          <w:szCs w:val="28"/>
        </w:rPr>
        <w:t>School</w:t>
      </w:r>
      <w:r w:rsidRPr="009B22B6">
        <w:rPr>
          <w:b/>
          <w:noProof/>
          <w:color w:val="AF272F"/>
          <w:sz w:val="28"/>
          <w:szCs w:val="28"/>
        </w:rPr>
        <w:t xml:space="preserve"> </w:t>
      </w:r>
      <w:r w:rsidRPr="009B22B6">
        <w:rPr>
          <w:b/>
          <w:noProof/>
          <w:color w:val="AF272F"/>
          <w:sz w:val="28"/>
          <w:szCs w:val="28"/>
        </w:rPr>
        <w:t xml:space="preserve">Name: </w:t>
      </w:r>
      <w:r w:rsidRPr="009B22B6">
        <w:rPr>
          <w:b/>
          <w:noProof/>
          <w:color w:val="AF272F"/>
          <w:sz w:val="28"/>
          <w:szCs w:val="28"/>
        </w:rPr>
        <w:t>Hampden Specialist School (5276)</w:t>
      </w:r>
      <w:r>
        <w:rPr>
          <w:color w:val="595959" w:themeColor="text1" w:themeTint="A6"/>
          <w:sz w:val="28"/>
          <w:szCs w:val="2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946"/>
      </w:tblGrid>
      <w:tr w:rsidR="00C440C6" w:rsidTr="00130771">
        <w:trPr>
          <w:trHeight w:val="11387"/>
        </w:trPr>
        <w:tc>
          <w:tcPr>
            <w:tcW w:w="3544" w:type="dxa"/>
          </w:tcPr>
          <w:p w:rsidR="00BE480F" w:rsidRPr="00BE480F" w:rsidRDefault="00E32BE3" w:rsidP="00A074DE">
            <w:pPr>
              <w:ind w:left="-509" w:right="419"/>
              <w:jc w:val="center"/>
              <w:rPr>
                <w:color w:val="595959" w:themeColor="text1" w:themeTint="A6"/>
              </w:rPr>
            </w:pPr>
            <w:r>
              <w:rPr>
                <w:noProof/>
                <w:color w:val="595959" w:themeColor="text1" w:themeTint="A6"/>
                <w:lang w:val="en-AU" w:eastAsia="en-AU"/>
              </w:rPr>
              <w:drawing>
                <wp:anchor distT="0" distB="0" distL="114300" distR="114300" simplePos="0" relativeHeight="251660288" behindDoc="1" locked="0" layoutInCell="1" allowOverlap="1">
                  <wp:simplePos x="0" y="0"/>
                  <wp:positionH relativeFrom="page">
                    <wp:align>left</wp:align>
                  </wp:positionH>
                  <wp:positionV relativeFrom="paragraph">
                    <wp:posOffset>0</wp:posOffset>
                  </wp:positionV>
                  <wp:extent cx="1428949" cy="1057423"/>
                  <wp:effectExtent l="0" t="0" r="0" b="0"/>
                  <wp:wrapNone/>
                  <wp:docPr id="100020" name="Picture 100020"/>
                  <wp:cNvGraphicFramePr/>
                  <a:graphic xmlns:a="http://schemas.openxmlformats.org/drawingml/2006/main">
                    <a:graphicData uri="http://schemas.openxmlformats.org/drawingml/2006/picture">
                      <pic:pic xmlns:pic="http://schemas.openxmlformats.org/drawingml/2006/picture">
                        <pic:nvPicPr>
                          <pic:cNvPr id="100020" name=""/>
                          <pic:cNvPicPr/>
                        </pic:nvPicPr>
                        <pic:blipFill>
                          <a:blip r:embed="rId16"/>
                          <a:stretch>
                            <a:fillRect/>
                          </a:stretch>
                        </pic:blipFill>
                        <pic:spPr>
                          <a:xfrm>
                            <a:off x="0" y="0"/>
                            <a:ext cx="1428949" cy="1057423"/>
                          </a:xfrm>
                          <a:prstGeom prst="rect">
                            <a:avLst/>
                          </a:prstGeom>
                        </pic:spPr>
                      </pic:pic>
                    </a:graphicData>
                  </a:graphic>
                </wp:anchor>
              </w:drawing>
            </w:r>
          </w:p>
        </w:tc>
        <w:tc>
          <w:tcPr>
            <w:tcW w:w="6946" w:type="dxa"/>
          </w:tcPr>
          <w:p w:rsidR="00BE480F" w:rsidRDefault="00E32BE3" w:rsidP="006932E3">
            <w:pPr>
              <w:ind w:right="419"/>
              <w:rPr>
                <w:color w:val="595959" w:themeColor="text1" w:themeTint="A6"/>
              </w:rPr>
            </w:pPr>
          </w:p>
        </w:tc>
      </w:tr>
    </w:tbl>
    <w:p w:rsidR="00BE480F" w:rsidRDefault="00E32BE3" w:rsidP="00AF1438">
      <w:pPr>
        <w:ind w:left="540" w:right="419"/>
        <w:rPr>
          <w:color w:val="595959" w:themeColor="text1" w:themeTint="A6"/>
        </w:rPr>
      </w:pPr>
    </w:p>
    <w:p w:rsidR="00481904" w:rsidRDefault="00E32BE3" w:rsidP="00BF76C7">
      <w:pPr>
        <w:pStyle w:val="ESHeading2"/>
        <w:jc w:val="center"/>
        <w:sectPr w:rsidR="00481904" w:rsidSect="00B402B7">
          <w:headerReference w:type="even" r:id="rId17"/>
          <w:headerReference w:type="default" r:id="rId18"/>
          <w:footerReference w:type="even" r:id="rId19"/>
          <w:footerReference w:type="default" r:id="rId20"/>
          <w:headerReference w:type="first" r:id="rId21"/>
          <w:pgSz w:w="11906" w:h="16838" w:code="9"/>
          <w:pgMar w:top="1005" w:right="737" w:bottom="1304" w:left="562" w:header="624" w:footer="1134" w:gutter="0"/>
          <w:cols w:space="397"/>
          <w:docGrid w:linePitch="360"/>
        </w:sectPr>
      </w:pPr>
    </w:p>
    <w:p w:rsidR="00BF76C7" w:rsidRPr="00242590" w:rsidRDefault="00E32BE3" w:rsidP="00B42C9B">
      <w:pPr>
        <w:ind w:left="-540" w:right="-632"/>
        <w:jc w:val="center"/>
        <w:rPr>
          <w:b/>
          <w:color w:val="AF272F"/>
          <w:sz w:val="32"/>
          <w:szCs w:val="32"/>
        </w:rPr>
      </w:pPr>
      <w:r>
        <w:rPr>
          <w:b/>
          <w:color w:val="AF272F"/>
          <w:sz w:val="36"/>
          <w:szCs w:val="44"/>
        </w:rPr>
        <w:lastRenderedPageBreak/>
        <w:t>About Our School</w:t>
      </w:r>
    </w:p>
    <w:p w:rsidR="0038585D" w:rsidRPr="00864EAA" w:rsidRDefault="00E32BE3" w:rsidP="00A20DEB">
      <w:pPr>
        <w:pStyle w:val="ESIntroParagraph"/>
        <w:ind w:left="-567" w:right="1708" w:firstLine="27"/>
        <w:rPr>
          <w:color w:val="595959" w:themeColor="text1" w:themeTint="A6"/>
          <w:sz w:val="18"/>
          <w:szCs w:val="18"/>
        </w:rPr>
      </w:pPr>
    </w:p>
    <w:tbl>
      <w:tblPr>
        <w:tblStyle w:val="TableGrid"/>
        <w:tblW w:w="10774" w:type="dxa"/>
        <w:tblInd w:w="-714" w:type="dxa"/>
        <w:tblCellMar>
          <w:top w:w="115" w:type="dxa"/>
          <w:left w:w="115" w:type="dxa"/>
          <w:bottom w:w="115" w:type="dxa"/>
          <w:right w:w="115" w:type="dxa"/>
        </w:tblCellMar>
        <w:tblLook w:val="04A0" w:firstRow="1" w:lastRow="0" w:firstColumn="1" w:lastColumn="0" w:noHBand="0" w:noVBand="1"/>
      </w:tblPr>
      <w:tblGrid>
        <w:gridCol w:w="10774"/>
      </w:tblGrid>
      <w:tr w:rsidR="00C440C6" w:rsidTr="003329F2">
        <w:trPr>
          <w:trHeight w:val="15"/>
        </w:trPr>
        <w:tc>
          <w:tcPr>
            <w:tcW w:w="10774" w:type="dxa"/>
            <w:shd w:val="clear" w:color="auto" w:fill="D9D9D9" w:themeFill="background1" w:themeFillShade="D9"/>
          </w:tcPr>
          <w:p w:rsidR="00777DB2" w:rsidRPr="001C2589" w:rsidRDefault="00E32BE3" w:rsidP="00994A0F">
            <w:pPr>
              <w:pStyle w:val="Heading3"/>
              <w:spacing w:before="0" w:after="0"/>
              <w:rPr>
                <w:sz w:val="24"/>
                <w:szCs w:val="24"/>
              </w:rPr>
            </w:pPr>
            <w:r w:rsidRPr="005206F9">
              <w:rPr>
                <w:sz w:val="22"/>
                <w:szCs w:val="22"/>
              </w:rPr>
              <w:t xml:space="preserve">School </w:t>
            </w:r>
            <w:r>
              <w:rPr>
                <w:sz w:val="22"/>
                <w:szCs w:val="22"/>
              </w:rPr>
              <w:t>context</w:t>
            </w:r>
          </w:p>
        </w:tc>
      </w:tr>
      <w:tr w:rsidR="00C440C6" w:rsidTr="003329F2">
        <w:trPr>
          <w:trHeight w:val="15"/>
        </w:trPr>
        <w:tc>
          <w:tcPr>
            <w:tcW w:w="10774" w:type="dxa"/>
            <w:shd w:val="clear" w:color="auto" w:fill="FFFFFF" w:themeFill="background1"/>
          </w:tcPr>
          <w:p w:rsidR="00777DB2" w:rsidRPr="005A75E6" w:rsidRDefault="00E32BE3" w:rsidP="00994A0F">
            <w:pPr>
              <w:pStyle w:val="Heading3"/>
              <w:spacing w:before="0" w:after="0"/>
              <w:rPr>
                <w:b w:val="0"/>
                <w:szCs w:val="20"/>
              </w:rPr>
            </w:pPr>
            <w:r>
              <w:rPr>
                <w:b w:val="0"/>
              </w:rPr>
              <w:t xml:space="preserve">Our school’s vision is to prepare young people to become active, respected, engaged and responsible citizens of the local </w:t>
            </w:r>
            <w:r>
              <w:rPr>
                <w:b w:val="0"/>
              </w:rPr>
              <w:t>and global community.  It aims to prepare students to contend with a very dynamic 21st century in which creativity, cooperative work, connected to the world and adaptability are key features.  The school aspires to provide a current approach to teaching an</w:t>
            </w:r>
            <w:r>
              <w:rPr>
                <w:b w:val="0"/>
              </w:rPr>
              <w:t>d learning in its purposeful learning environment that is informed by on-going research.</w:t>
            </w:r>
            <w:r>
              <w:rPr>
                <w:b w:val="0"/>
              </w:rPr>
              <w:br/>
              <w:t>The schools core values are Respect, Teamwork and Persistence. However, the school values achievement, excellence, curiosity, respect and responsibility, perseverance,</w:t>
            </w:r>
            <w:r>
              <w:rPr>
                <w:b w:val="0"/>
              </w:rPr>
              <w:t xml:space="preserve"> integrity, inclusiveness, respect for diversity, honesty and equity.  Sitting at the centre of its work, the school believes in high expectations in all students and a commitment to acknowledging effort in learning and achievement.</w:t>
            </w:r>
            <w:r>
              <w:rPr>
                <w:b w:val="0"/>
              </w:rPr>
              <w:br/>
              <w:t>The programs of, and te</w:t>
            </w:r>
            <w:r>
              <w:rPr>
                <w:b w:val="0"/>
              </w:rPr>
              <w:t>aching in, the school will support and promote the principles and practices of Australian democracy including a commitment to:</w:t>
            </w:r>
            <w:r>
              <w:rPr>
                <w:b w:val="0"/>
              </w:rPr>
              <w:br/>
              <w:t>•</w:t>
            </w:r>
            <w:r>
              <w:rPr>
                <w:b w:val="0"/>
              </w:rPr>
              <w:tab/>
              <w:t>An elected government.</w:t>
            </w:r>
            <w:r>
              <w:rPr>
                <w:b w:val="0"/>
              </w:rPr>
              <w:br/>
              <w:t>•</w:t>
            </w:r>
            <w:r>
              <w:rPr>
                <w:b w:val="0"/>
              </w:rPr>
              <w:tab/>
              <w:t>The rule of law.</w:t>
            </w:r>
            <w:r>
              <w:rPr>
                <w:b w:val="0"/>
              </w:rPr>
              <w:br/>
              <w:t>•</w:t>
            </w:r>
            <w:r>
              <w:rPr>
                <w:b w:val="0"/>
              </w:rPr>
              <w:tab/>
              <w:t>Equal rights for all before the law.</w:t>
            </w:r>
            <w:r>
              <w:rPr>
                <w:b w:val="0"/>
              </w:rPr>
              <w:br/>
              <w:t>•</w:t>
            </w:r>
            <w:r>
              <w:rPr>
                <w:b w:val="0"/>
              </w:rPr>
              <w:tab/>
              <w:t>Freedom of religion.</w:t>
            </w:r>
            <w:r>
              <w:rPr>
                <w:b w:val="0"/>
              </w:rPr>
              <w:br/>
              <w:t>•</w:t>
            </w:r>
            <w:r>
              <w:rPr>
                <w:b w:val="0"/>
              </w:rPr>
              <w:tab/>
              <w:t>Freedom of speech and</w:t>
            </w:r>
            <w:r>
              <w:rPr>
                <w:b w:val="0"/>
              </w:rPr>
              <w:t xml:space="preserve"> association.</w:t>
            </w:r>
            <w:r>
              <w:rPr>
                <w:b w:val="0"/>
              </w:rPr>
              <w:br/>
              <w:t>•</w:t>
            </w:r>
            <w:r>
              <w:rPr>
                <w:b w:val="0"/>
              </w:rPr>
              <w:tab/>
              <w:t>The values of openness and tolerance.</w:t>
            </w:r>
            <w:r>
              <w:rPr>
                <w:b w:val="0"/>
              </w:rPr>
              <w:br/>
              <w:t>All members of the School Community are expected to model these behaviors at all times.</w:t>
            </w:r>
            <w:r>
              <w:rPr>
                <w:b w:val="0"/>
              </w:rPr>
              <w:br/>
              <w:t>Hampden Specialist School provides Special Education for Primary and Secondary school age students with mild to se</w:t>
            </w:r>
            <w:r>
              <w:rPr>
                <w:b w:val="0"/>
              </w:rPr>
              <w:t>vere intellectual disability or in combination with other disabilities. It is a two campus school featuring distinct learning stages with students in the Early stages of learning situated at the Terang Campus and Middle to Later Years students at Cobden. T</w:t>
            </w:r>
            <w:r>
              <w:rPr>
                <w:b w:val="0"/>
              </w:rPr>
              <w:t xml:space="preserve">he School Administration is also located at its Cobden Campus. </w:t>
            </w:r>
            <w:r>
              <w:rPr>
                <w:b w:val="0"/>
              </w:rPr>
              <w:br/>
              <w:t>The catchment area encompasses Derrinallum and Mortlake in the north, Garvoc and Nullawarre to the west, Timboon and Port Campbell to the south and South Purrumbete to the east and all areas i</w:t>
            </w:r>
            <w:r>
              <w:rPr>
                <w:b w:val="0"/>
              </w:rPr>
              <w:t>n between. Neighbouring Specialist Schools are located at Warrnambool, Colac and Hamilton.</w:t>
            </w:r>
            <w:r>
              <w:rPr>
                <w:b w:val="0"/>
              </w:rPr>
              <w:br/>
              <w:t>The schools most distinguishing feature is its Baseroom style of education delivery. In keeping with this style of operation, each campus is located alongside same a</w:t>
            </w:r>
            <w:r>
              <w:rPr>
                <w:b w:val="0"/>
              </w:rPr>
              <w:t>ge regular schools. The P - 5 Campus with 19 students, is located next to Terang College P - 4 campus and the Middle years (5 – 9) and Later Years (10 – 12) campus with a total of 38 students, is located on the grounds of Cobden Technical School. The towns</w:t>
            </w:r>
            <w:r>
              <w:rPr>
                <w:b w:val="0"/>
              </w:rPr>
              <w:t xml:space="preserve"> of Cobden and Terang, in which these campuses are situated, are 24 kilometres apart. The combined enrolment in 2019 is 57.</w:t>
            </w:r>
            <w:r>
              <w:rPr>
                <w:b w:val="0"/>
              </w:rPr>
              <w:br/>
              <w:t>Hampden Specialist School is distinguished by its Baseroom approach to curriculum delivery. It is a small special school with spread</w:t>
            </w:r>
            <w:r>
              <w:rPr>
                <w:b w:val="0"/>
              </w:rPr>
              <w:t xml:space="preserve"> across two small towns Cobden and Terang that are 22 kilometres apart. The school motto ‘The Best of Both Worlds in Special Education’ visibly  underpins the advantages of this practice and the school values of Respect, Teamwork and Persistence serve as a</w:t>
            </w:r>
            <w:r>
              <w:rPr>
                <w:b w:val="0"/>
              </w:rPr>
              <w:t>n enduring benchmark for all aspects of the teaching and learning that takes place at the school.</w:t>
            </w:r>
            <w:r>
              <w:rPr>
                <w:b w:val="0"/>
              </w:rPr>
              <w:br/>
            </w:r>
            <w:r>
              <w:rPr>
                <w:b w:val="0"/>
              </w:rPr>
              <w:br/>
            </w:r>
            <w:r>
              <w:rPr>
                <w:b w:val="0"/>
              </w:rPr>
              <w:br/>
            </w:r>
          </w:p>
        </w:tc>
      </w:tr>
      <w:tr w:rsidR="00C440C6" w:rsidTr="003329F2">
        <w:trPr>
          <w:trHeight w:val="15"/>
        </w:trPr>
        <w:tc>
          <w:tcPr>
            <w:tcW w:w="10774" w:type="dxa"/>
            <w:shd w:val="clear" w:color="auto" w:fill="D9D9D9" w:themeFill="background1" w:themeFillShade="D9"/>
          </w:tcPr>
          <w:p w:rsidR="00777DB2" w:rsidRDefault="00E32BE3" w:rsidP="00994A0F">
            <w:pPr>
              <w:pStyle w:val="Heading3"/>
              <w:spacing w:before="0" w:after="0"/>
              <w:rPr>
                <w:szCs w:val="20"/>
              </w:rPr>
            </w:pPr>
            <w:r w:rsidRPr="00D3162B">
              <w:rPr>
                <w:sz w:val="22"/>
                <w:szCs w:val="22"/>
              </w:rPr>
              <w:t>Framework for Improving Student Outcomes (FISO)</w:t>
            </w:r>
          </w:p>
        </w:tc>
      </w:tr>
      <w:tr w:rsidR="00C440C6" w:rsidTr="003329F2">
        <w:trPr>
          <w:trHeight w:val="15"/>
        </w:trPr>
        <w:tc>
          <w:tcPr>
            <w:tcW w:w="10774" w:type="dxa"/>
            <w:shd w:val="clear" w:color="auto" w:fill="FFFFFF" w:themeFill="background1"/>
          </w:tcPr>
          <w:p w:rsidR="00777DB2" w:rsidRPr="005A75E6" w:rsidRDefault="00E32BE3" w:rsidP="00994A0F">
            <w:pPr>
              <w:pStyle w:val="Heading3"/>
              <w:spacing w:before="0" w:after="0"/>
              <w:rPr>
                <w:b w:val="0"/>
                <w:szCs w:val="20"/>
              </w:rPr>
            </w:pPr>
            <w:r>
              <w:rPr>
                <w:b w:val="0"/>
              </w:rPr>
              <w:t>Building practice excellence:Continue to strengthen peer observation and collegiate practices such as the</w:t>
            </w:r>
            <w:r>
              <w:rPr>
                <w:b w:val="0"/>
              </w:rPr>
              <w:t xml:space="preserve"> PLT processes developed during the last strategic phase. A staff evaluation showed that the peer observation process is considered by staff to be an effective way to identify areas of teaching practice that require improvement. The PLT process at our scho</w:t>
            </w:r>
            <w:r>
              <w:rPr>
                <w:b w:val="0"/>
              </w:rPr>
              <w:t xml:space="preserve">ol has been under utilised  and  will be structured to more closely follow the FISO model in 2019.   </w:t>
            </w:r>
            <w:r>
              <w:rPr>
                <w:b w:val="0"/>
              </w:rPr>
              <w:br/>
              <w:t>After analysing assessment data we selected spelling as focus for 2019. It was the area where our students made the least progress in 2018. We feel the Pa</w:t>
            </w:r>
            <w:r>
              <w:rPr>
                <w:b w:val="0"/>
              </w:rPr>
              <w:t>tSpelling Assessment we used did not suit our whole student cohort. We believe improved Spelling will also improve reading and writing outcomes.  Our staff feel that improved spelling will help our students to have a positive profile in the host schools, o</w:t>
            </w:r>
            <w:r>
              <w:rPr>
                <w:b w:val="0"/>
              </w:rPr>
              <w:t xml:space="preserve">n work placements and in the community. After an intensive inquiry staff decided that Pat Spelling would be replaced with the SA Spelling test and the first round of assessment </w:t>
            </w:r>
            <w:r>
              <w:rPr>
                <w:b w:val="0"/>
              </w:rPr>
              <w:lastRenderedPageBreak/>
              <w:t xml:space="preserve">occurred in Dec 2019 and included a  wider cohort of students than previously. </w:t>
            </w:r>
            <w:r>
              <w:rPr>
                <w:b w:val="0"/>
              </w:rPr>
              <w:t>Pat Spelling was deemed inappropriate for our cohort as many students did not have the reading level required to access this platform.</w:t>
            </w:r>
            <w:r>
              <w:rPr>
                <w:b w:val="0"/>
              </w:rPr>
              <w:br/>
            </w:r>
            <w:r>
              <w:rPr>
                <w:b w:val="0"/>
              </w:rPr>
              <w:br/>
            </w:r>
            <w:r>
              <w:rPr>
                <w:b w:val="0"/>
              </w:rPr>
              <w:br/>
            </w:r>
          </w:p>
        </w:tc>
      </w:tr>
      <w:tr w:rsidR="00C440C6" w:rsidTr="003329F2">
        <w:trPr>
          <w:trHeight w:val="15"/>
        </w:trPr>
        <w:tc>
          <w:tcPr>
            <w:tcW w:w="10774" w:type="dxa"/>
            <w:shd w:val="clear" w:color="auto" w:fill="D9D9D9" w:themeFill="background1" w:themeFillShade="D9"/>
          </w:tcPr>
          <w:p w:rsidR="00777DB2" w:rsidRDefault="00E32BE3" w:rsidP="00994A0F">
            <w:pPr>
              <w:pStyle w:val="Heading3"/>
              <w:spacing w:before="0" w:after="0"/>
              <w:rPr>
                <w:szCs w:val="20"/>
              </w:rPr>
            </w:pPr>
            <w:r w:rsidRPr="00D3162B">
              <w:rPr>
                <w:sz w:val="22"/>
                <w:szCs w:val="22"/>
              </w:rPr>
              <w:lastRenderedPageBreak/>
              <w:t>Achievement</w:t>
            </w:r>
          </w:p>
        </w:tc>
      </w:tr>
      <w:tr w:rsidR="00C440C6" w:rsidTr="003329F2">
        <w:trPr>
          <w:trHeight w:val="15"/>
        </w:trPr>
        <w:tc>
          <w:tcPr>
            <w:tcW w:w="10774" w:type="dxa"/>
            <w:shd w:val="clear" w:color="auto" w:fill="FFFFFF" w:themeFill="background1"/>
          </w:tcPr>
          <w:p w:rsidR="00777DB2" w:rsidRPr="005A75E6" w:rsidRDefault="00E32BE3" w:rsidP="00994A0F">
            <w:pPr>
              <w:pStyle w:val="Heading3"/>
              <w:spacing w:before="0" w:after="0"/>
              <w:rPr>
                <w:b w:val="0"/>
                <w:szCs w:val="20"/>
              </w:rPr>
            </w:pPr>
            <w:r>
              <w:rPr>
                <w:b w:val="0"/>
              </w:rPr>
              <w:t>To strengthen peer observation and collegiate practices such as the PLT processes developed during the l</w:t>
            </w:r>
            <w:r>
              <w:rPr>
                <w:b w:val="0"/>
              </w:rPr>
              <w:t>ast strategic phase. A staff evaluation showed that the peer observation process is considered by staff to be an effective way to identify areas of teaching practice that require improvement. The PLT process at our school has been under utilised  and  will</w:t>
            </w:r>
            <w:r>
              <w:rPr>
                <w:b w:val="0"/>
              </w:rPr>
              <w:t xml:space="preserve"> be structured to more closely follow the FISO model in 2019.   </w:t>
            </w:r>
            <w:r>
              <w:rPr>
                <w:b w:val="0"/>
              </w:rPr>
              <w:br/>
              <w:t>After analysing assessment data we selected spelling as focus for 2019. It was the area where our students made the least progress in 2018. We feel the Pat Spelling Assessment we used did not</w:t>
            </w:r>
            <w:r>
              <w:rPr>
                <w:b w:val="0"/>
              </w:rPr>
              <w:t xml:space="preserve"> suit our whole student cohort. We believe improved Spelling will also improve reading and writing outcomes.  Our staff feel that improved spelling will help our students to have a positive profile in the host schools, on work placements and in the communi</w:t>
            </w:r>
            <w:r>
              <w:rPr>
                <w:b w:val="0"/>
              </w:rPr>
              <w:t>ty. After an intensive inquiry staff decided that Pat Spelling would be replaced with the SA Spelling test and the first round of assessment occurred in Dec 2019 and a wider cohort of students. Pat Spelling was deemed inappropriate for our cohort as many s</w:t>
            </w:r>
            <w:r>
              <w:rPr>
                <w:b w:val="0"/>
              </w:rPr>
              <w:t>tudents did not have the reading level required to access this platform. SA spelling will be continued as an assessment tool in 2020 and staff will utilise PLC meeting to explore an assessment that test reading and oral vocabulary for a wide range of stude</w:t>
            </w:r>
            <w:r>
              <w:rPr>
                <w:b w:val="0"/>
              </w:rPr>
              <w:t>nt abilities. Pat Vocabulary has been used in the past but excludes students with pre reading levels. The school would also like to identify an assessment tool that assesses orally vocabulary to assess vocab knowledge of students with limited reading abili</w:t>
            </w:r>
            <w:r>
              <w:rPr>
                <w:b w:val="0"/>
              </w:rPr>
              <w:t>ty but a higher level of understanding spoken language. All students have made progress against their learning goals on their individual learning plans.</w:t>
            </w:r>
            <w:r>
              <w:rPr>
                <w:b w:val="0"/>
              </w:rPr>
              <w:br/>
            </w:r>
          </w:p>
        </w:tc>
      </w:tr>
      <w:tr w:rsidR="00C440C6" w:rsidTr="003329F2">
        <w:trPr>
          <w:trHeight w:val="15"/>
        </w:trPr>
        <w:tc>
          <w:tcPr>
            <w:tcW w:w="10774" w:type="dxa"/>
            <w:shd w:val="clear" w:color="auto" w:fill="D9D9D9" w:themeFill="background1" w:themeFillShade="D9"/>
          </w:tcPr>
          <w:p w:rsidR="00777DB2" w:rsidRPr="00D3162B" w:rsidRDefault="00E32BE3" w:rsidP="00994A0F">
            <w:pPr>
              <w:pStyle w:val="Heading3"/>
              <w:spacing w:before="0" w:after="0"/>
              <w:rPr>
                <w:sz w:val="22"/>
                <w:szCs w:val="22"/>
              </w:rPr>
            </w:pPr>
            <w:r w:rsidRPr="00D3162B">
              <w:rPr>
                <w:sz w:val="22"/>
                <w:szCs w:val="22"/>
              </w:rPr>
              <w:t>Engagement</w:t>
            </w:r>
          </w:p>
        </w:tc>
      </w:tr>
      <w:tr w:rsidR="00C440C6" w:rsidTr="003329F2">
        <w:trPr>
          <w:trHeight w:val="15"/>
        </w:trPr>
        <w:tc>
          <w:tcPr>
            <w:tcW w:w="10774" w:type="dxa"/>
            <w:shd w:val="clear" w:color="auto" w:fill="FFFFFF" w:themeFill="background1"/>
          </w:tcPr>
          <w:p w:rsidR="00777DB2" w:rsidRPr="005A75E6" w:rsidRDefault="00E32BE3" w:rsidP="00994A0F">
            <w:pPr>
              <w:pStyle w:val="Heading3"/>
              <w:spacing w:before="0" w:after="0"/>
              <w:rPr>
                <w:b w:val="0"/>
                <w:szCs w:val="20"/>
              </w:rPr>
            </w:pPr>
            <w:r>
              <w:rPr>
                <w:b w:val="0"/>
              </w:rPr>
              <w:t>Increase learner confidence in and contribution to their own learning, improving SAS resu</w:t>
            </w:r>
            <w:r>
              <w:rPr>
                <w:b w:val="0"/>
              </w:rPr>
              <w:t>lts in Student Voice and Learner Confidence to above 89%. Results of our student survey showed that learner confidence and student voice were areas on which we could make improvements. Scores in both areas was 80% , however these were still two of our lowe</w:t>
            </w:r>
            <w:r>
              <w:rPr>
                <w:b w:val="0"/>
              </w:rPr>
              <w:t>r areas. Staff believe that currently student contribution to their own learning and decision making at the school should be increased and that this will improve student engagement. 2019 saw the reemergence of the SRC with school leaders been chosen across</w:t>
            </w:r>
            <w:r>
              <w:rPr>
                <w:b w:val="0"/>
              </w:rPr>
              <w:t xml:space="preserve"> all levels of the school. SRC are also regular contributors of school council meetings giving monthly updates for the school. The school will continue to build on Student Voice and Agency in 2020. Recently the school underwent our school review and the re</w:t>
            </w:r>
            <w:r>
              <w:rPr>
                <w:b w:val="0"/>
              </w:rPr>
              <w:t>viewer and panel identified the HSS had developed some strong leaders who had a strong voices but could also include all students in conversations and directions of the school. Our senior school captains were identified as having a strong sense of inclusio</w:t>
            </w:r>
            <w:r>
              <w:rPr>
                <w:b w:val="0"/>
              </w:rPr>
              <w:t>n and were able to provide excellent feedback on the direction the student body would like the school to take. Students are clearly able to identify their own and school needs, opinions on what was working well in the school and identify areas for improvem</w:t>
            </w:r>
            <w:r>
              <w:rPr>
                <w:b w:val="0"/>
              </w:rPr>
              <w:t xml:space="preserve">ent. The Review Panel identified that all areas of the school were strong in student voice and identified the Early Years students as having a strong voice at a young age. </w:t>
            </w:r>
            <w:r>
              <w:rPr>
                <w:b w:val="0"/>
              </w:rPr>
              <w:br/>
              <w:t>The school has identified an Action Plan in relation to school attendance. Students</w:t>
            </w:r>
            <w:r>
              <w:rPr>
                <w:b w:val="0"/>
              </w:rPr>
              <w:t xml:space="preserve"> with attendance rates of 80% or less have attendance plans with strategies for students attending school more often. Staff text or ring families that have not reported that their child is away to keep lines of communication open. Engagement programs have </w:t>
            </w:r>
            <w:r>
              <w:rPr>
                <w:b w:val="0"/>
              </w:rPr>
              <w:t xml:space="preserve">been such as 'Hands on Learning, Inquiry Learning, a Play Based Curriculum for our early learners and many community access programs as all strategies for engaging students. Student attendance rates declined slightly in 2019 to 17.9 average days away from </w:t>
            </w:r>
            <w:r>
              <w:rPr>
                <w:b w:val="0"/>
              </w:rPr>
              <w:t xml:space="preserve">16.1 in 2018. </w:t>
            </w:r>
          </w:p>
        </w:tc>
      </w:tr>
      <w:tr w:rsidR="00C440C6" w:rsidTr="003329F2">
        <w:trPr>
          <w:trHeight w:val="15"/>
        </w:trPr>
        <w:tc>
          <w:tcPr>
            <w:tcW w:w="10774" w:type="dxa"/>
            <w:shd w:val="clear" w:color="auto" w:fill="D9D9D9" w:themeFill="background1" w:themeFillShade="D9"/>
          </w:tcPr>
          <w:p w:rsidR="00777DB2" w:rsidRPr="00D3162B" w:rsidRDefault="00E32BE3" w:rsidP="00994A0F">
            <w:pPr>
              <w:pStyle w:val="Heading3"/>
              <w:spacing w:before="0" w:after="0"/>
              <w:rPr>
                <w:sz w:val="22"/>
                <w:szCs w:val="22"/>
              </w:rPr>
            </w:pPr>
            <w:r w:rsidRPr="00F40AEE">
              <w:rPr>
                <w:sz w:val="22"/>
                <w:szCs w:val="22"/>
              </w:rPr>
              <w:t>Wellbeing</w:t>
            </w:r>
          </w:p>
        </w:tc>
      </w:tr>
      <w:tr w:rsidR="00C440C6" w:rsidTr="003329F2">
        <w:trPr>
          <w:trHeight w:val="15"/>
        </w:trPr>
        <w:tc>
          <w:tcPr>
            <w:tcW w:w="10774" w:type="dxa"/>
            <w:shd w:val="clear" w:color="auto" w:fill="FFFFFF" w:themeFill="background1"/>
          </w:tcPr>
          <w:p w:rsidR="00777DB2" w:rsidRPr="007C43EB" w:rsidRDefault="00E32BE3" w:rsidP="00994A0F">
            <w:pPr>
              <w:pStyle w:val="Heading3"/>
              <w:spacing w:before="0" w:after="0"/>
              <w:rPr>
                <w:b w:val="0"/>
                <w:szCs w:val="20"/>
              </w:rPr>
            </w:pPr>
            <w:r>
              <w:rPr>
                <w:b w:val="0"/>
              </w:rPr>
              <w:t xml:space="preserve">Maximise opportunities to access special resources, including specialised therapies, to enhance learning and development for all students. Specialised programs such as Hands on Learning for students that may be identified as </w:t>
            </w:r>
            <w:r>
              <w:rPr>
                <w:b w:val="0"/>
              </w:rPr>
              <w:t xml:space="preserve">disengaged or becoming disengaged has been implemented with great success. The students look forward to this </w:t>
            </w:r>
            <w:r>
              <w:rPr>
                <w:b w:val="0"/>
              </w:rPr>
              <w:lastRenderedPageBreak/>
              <w:t>program and have shown pride in their week and are building on their respect towards themselves and others through this program. Later Years studen</w:t>
            </w:r>
            <w:r>
              <w:rPr>
                <w:b w:val="0"/>
              </w:rPr>
              <w:t>ts also contribute to the community through the Meals on Wheels program and often participate in programs at other local  schools such as 'I know your name but not your story', and BRICKS. Other programs across the school include the Play Curriculum ( Deve</w:t>
            </w:r>
            <w:r>
              <w:rPr>
                <w:b w:val="0"/>
              </w:rPr>
              <w:t>lopmental Curriculum) for our P-2 students. Students use play to learn through the variety of planned play based activities which address all areas of developments such as sensory, construction, writing, language, dramatic play etc. Students regularly repo</w:t>
            </w:r>
            <w:r>
              <w:rPr>
                <w:b w:val="0"/>
              </w:rPr>
              <w:t>rt that this is there favourite part of the day! The Nature bus has also been a regular visitor at the P-4 campus during 2019. From years 3-12 students undertake inquiry learning which allows them to learn through doing and take control of their own learni</w:t>
            </w:r>
            <w:r>
              <w:rPr>
                <w:b w:val="0"/>
              </w:rPr>
              <w:t>ng. All students also participate in STEAM learning and with the recent purchase of a 3D printer and some excursions to Deakin University to learn the different aspects of 3D printing and robotics. Students from the Cobden Campus went on an excursion to th</w:t>
            </w:r>
            <w:r>
              <w:rPr>
                <w:b w:val="0"/>
              </w:rPr>
              <w:t>e Bio Lab in Geelong where they experienced lots of STEM based learning. Our small classes, specialised teachers, therapists and programs all contribute to HSS students continued success.</w:t>
            </w:r>
          </w:p>
        </w:tc>
      </w:tr>
      <w:tr w:rsidR="00C440C6" w:rsidTr="003329F2">
        <w:trPr>
          <w:trHeight w:val="15"/>
        </w:trPr>
        <w:tc>
          <w:tcPr>
            <w:tcW w:w="10774" w:type="dxa"/>
            <w:shd w:val="clear" w:color="auto" w:fill="D9D9D9" w:themeFill="background1" w:themeFillShade="D9"/>
          </w:tcPr>
          <w:p w:rsidR="00777DB2" w:rsidRPr="00D3162B" w:rsidRDefault="00E32BE3" w:rsidP="00994A0F">
            <w:pPr>
              <w:pStyle w:val="Heading3"/>
              <w:spacing w:before="0" w:after="0"/>
              <w:rPr>
                <w:sz w:val="22"/>
                <w:szCs w:val="22"/>
              </w:rPr>
            </w:pPr>
            <w:r w:rsidRPr="00F40AEE">
              <w:rPr>
                <w:sz w:val="22"/>
                <w:szCs w:val="22"/>
              </w:rPr>
              <w:lastRenderedPageBreak/>
              <w:t>Financial performance and position</w:t>
            </w:r>
          </w:p>
        </w:tc>
      </w:tr>
      <w:tr w:rsidR="00C440C6" w:rsidTr="003329F2">
        <w:trPr>
          <w:trHeight w:val="15"/>
        </w:trPr>
        <w:tc>
          <w:tcPr>
            <w:tcW w:w="10774" w:type="dxa"/>
            <w:shd w:val="clear" w:color="auto" w:fill="FFFFFF" w:themeFill="background1"/>
          </w:tcPr>
          <w:p w:rsidR="00777DB2" w:rsidRPr="005A75E6" w:rsidRDefault="00E32BE3" w:rsidP="00994A0F">
            <w:pPr>
              <w:pStyle w:val="Heading3"/>
              <w:spacing w:before="0" w:after="0"/>
              <w:rPr>
                <w:b w:val="0"/>
                <w:szCs w:val="20"/>
              </w:rPr>
            </w:pPr>
            <w:r>
              <w:rPr>
                <w:b w:val="0"/>
              </w:rPr>
              <w:t xml:space="preserve">The school finished 2019 in </w:t>
            </w:r>
            <w:r>
              <w:rPr>
                <w:b w:val="0"/>
              </w:rPr>
              <w:t>surplus. This was largely due to the 2018 surplus plus conservative spending as the school was transitioning towards the appointment of a new principal.  Succession planning for large groups of students graduating in 2020 &amp; 2021 also contributed to conserv</w:t>
            </w:r>
            <w:r>
              <w:rPr>
                <w:b w:val="0"/>
              </w:rPr>
              <w:t>ative spending in 2019. Building works included partial refurbishment of the middle years’ area and planning for an HOL working area.  It is expected projects will be completed in 2020 utilising accrued 2019 funds.  Applications for Employee Wellbeing Refo</w:t>
            </w:r>
            <w:r>
              <w:rPr>
                <w:b w:val="0"/>
              </w:rPr>
              <w:t>rm, Music, Equipment Boost and Local Government Grants were all successful. The music grant was used to introduce a much needed music program with the contribution of Tom Richardson and some basic music supplies. The employee Wellbeing Reform saw the purch</w:t>
            </w:r>
            <w:r>
              <w:rPr>
                <w:b w:val="0"/>
              </w:rPr>
              <w:t>ase of some office equipment to enhance the physical working conditions of our staff. The Equipment Boost and local government grant saw the much need improvement to the Middle Years section of the school. The common area was upgraded to included the eradi</w:t>
            </w:r>
            <w:r>
              <w:rPr>
                <w:b w:val="0"/>
              </w:rPr>
              <w:t>cation and proofing from vermin, new storage, seating, carpet, a split system and the weather proofing of the roof. Equity funding was used to train staff in the 'Sounds Write' program and purchase resources to support the program. Other PD staff undertook</w:t>
            </w:r>
            <w:r>
              <w:rPr>
                <w:b w:val="0"/>
              </w:rPr>
              <w:t xml:space="preserve"> to improve teaching and Learning included Auslan, Decoding Alphabet Kids, Visual Communication,Book Week and the purchase of a Promethean Board. Koori funding was used to purchase iPads and program them for 2 Kooie students along with stationary and Art s</w:t>
            </w:r>
            <w:r>
              <w:rPr>
                <w:b w:val="0"/>
              </w:rPr>
              <w:t>upplies for home. These 2 students were siblings that had a low rate of attendance so home resources were purchased to encouage increasing the value of education at home.</w:t>
            </w:r>
          </w:p>
        </w:tc>
      </w:tr>
      <w:tr w:rsidR="00C440C6" w:rsidTr="003329F2">
        <w:trPr>
          <w:trHeight w:val="15"/>
        </w:trPr>
        <w:tc>
          <w:tcPr>
            <w:tcW w:w="10774" w:type="dxa"/>
            <w:shd w:val="clear" w:color="auto" w:fill="D9D9D9" w:themeFill="background1" w:themeFillShade="D9"/>
          </w:tcPr>
          <w:p w:rsidR="00BF0096" w:rsidRPr="005A75E6" w:rsidRDefault="00E32BE3" w:rsidP="00C71E7A">
            <w:pPr>
              <w:pStyle w:val="Heading3"/>
              <w:spacing w:before="0" w:after="0"/>
              <w:rPr>
                <w:b w:val="0"/>
                <w:szCs w:val="20"/>
              </w:rPr>
            </w:pPr>
          </w:p>
          <w:p w:rsidR="00C440C6" w:rsidRDefault="00E32BE3">
            <w:pPr>
              <w:spacing w:after="218" w:line="240" w:lineRule="auto"/>
              <w:jc w:val="center"/>
              <w:rPr>
                <w:rFonts w:eastAsia="Arial"/>
                <w:sz w:val="22"/>
                <w:szCs w:val="22"/>
              </w:rPr>
            </w:pPr>
            <w:r>
              <w:rPr>
                <w:rFonts w:eastAsia="Arial"/>
                <w:b/>
                <w:bCs/>
                <w:sz w:val="22"/>
                <w:szCs w:val="22"/>
              </w:rPr>
              <w:t xml:space="preserve">For more detailed information regarding our school please visit our website at </w:t>
            </w:r>
            <w:hyperlink r:id="rId22" w:history="1">
              <w:r>
                <w:rPr>
                  <w:rFonts w:eastAsia="Arial"/>
                  <w:b/>
                  <w:bCs/>
                  <w:color w:val="0000EE"/>
                  <w:sz w:val="22"/>
                  <w:szCs w:val="22"/>
                  <w:u w:val="single"/>
                </w:rPr>
                <w:t>hampdenss.vic.edu.au</w:t>
              </w:r>
            </w:hyperlink>
          </w:p>
          <w:p w:rsidR="00C440C6" w:rsidRDefault="00C440C6"/>
        </w:tc>
      </w:tr>
    </w:tbl>
    <w:p w:rsidR="005E684F" w:rsidRPr="00FA10DB" w:rsidRDefault="00E32BE3" w:rsidP="00F73E5D">
      <w:pPr>
        <w:ind w:right="-632"/>
        <w:rPr>
          <w:b/>
          <w:color w:val="AF272F"/>
          <w:sz w:val="36"/>
          <w:szCs w:val="44"/>
        </w:rPr>
        <w:sectPr w:rsidR="005E684F" w:rsidRPr="00FA10DB" w:rsidSect="005D3640">
          <w:headerReference w:type="even" r:id="rId23"/>
          <w:headerReference w:type="default" r:id="rId24"/>
          <w:footerReference w:type="default" r:id="rId25"/>
          <w:headerReference w:type="first" r:id="rId26"/>
          <w:pgSz w:w="11906" w:h="16838" w:code="9"/>
          <w:pgMar w:top="2036" w:right="1240" w:bottom="1304" w:left="1304" w:header="624" w:footer="532" w:gutter="0"/>
          <w:cols w:space="397"/>
          <w:docGrid w:linePitch="360"/>
        </w:sectPr>
      </w:pPr>
    </w:p>
    <w:p w:rsidR="00F33684" w:rsidRDefault="00E32BE3">
      <w:pPr>
        <w:pStyle w:val="ESHeading1"/>
        <w:jc w:val="center"/>
        <w:rPr>
          <w:color w:val="auto"/>
        </w:rPr>
      </w:pPr>
      <w:r>
        <w:rPr>
          <w:color w:val="auto"/>
        </w:rPr>
        <w:lastRenderedPageBreak/>
        <w:t>Performance Summary</w:t>
      </w:r>
    </w:p>
    <w:p w:rsidR="00F33684" w:rsidRDefault="00E32BE3">
      <w:pPr>
        <w:rPr>
          <w:rFonts w:ascii="Times New Roman" w:eastAsia="Times New Roman" w:hAnsi="Times New Roman" w:cs="Times New Roman"/>
          <w:sz w:val="20"/>
          <w:szCs w:val="20"/>
          <w:lang w:val="en-AU" w:eastAsia="en-AU"/>
        </w:rPr>
      </w:pPr>
      <w:r>
        <w:rPr>
          <w:rFonts w:eastAsia="Arial" w:cs="Times New Roman"/>
          <w:color w:val="000000"/>
          <w:sz w:val="20"/>
          <w:szCs w:val="20"/>
          <w:lang w:val="en-AU" w:eastAsia="en-AU"/>
        </w:rPr>
        <w:t>The Government School Performance Summary provides an overview of how this school is contributing to the objectives of the Education State</w:t>
      </w:r>
      <w:r>
        <w:rPr>
          <w:rFonts w:eastAsia="Arial" w:cs="Times New Roman"/>
          <w:color w:val="000000"/>
          <w:sz w:val="20"/>
          <w:szCs w:val="20"/>
          <w:lang w:val="en-AU" w:eastAsia="en-AU"/>
        </w:rPr>
        <w:t xml:space="preserve"> and how it compares to other Victorian Government schools.</w:t>
      </w:r>
    </w:p>
    <w:p w:rsidR="00F33684" w:rsidRDefault="00E32BE3">
      <w:pPr>
        <w:rPr>
          <w:rFonts w:ascii="Times New Roman" w:eastAsia="Times New Roman" w:hAnsi="Times New Roman" w:cs="Times New Roman"/>
          <w:sz w:val="20"/>
          <w:szCs w:val="20"/>
          <w:lang w:val="en-AU" w:eastAsia="en-AU"/>
        </w:rPr>
      </w:pPr>
    </w:p>
    <w:p w:rsidR="00F33684" w:rsidRDefault="00E32BE3">
      <w:pPr>
        <w:rPr>
          <w:rFonts w:eastAsia="Arial" w:cs="Times New Roman"/>
          <w:color w:val="000000"/>
          <w:sz w:val="20"/>
          <w:szCs w:val="20"/>
          <w:lang w:val="en-AU" w:eastAsia="en-AU"/>
        </w:rPr>
      </w:pPr>
      <w:r>
        <w:rPr>
          <w:rFonts w:eastAsia="Arial" w:cs="Times New Roman"/>
          <w:color w:val="000000"/>
          <w:sz w:val="20"/>
          <w:szCs w:val="20"/>
          <w:lang w:val="en-AU" w:eastAsia="en-AU"/>
        </w:rPr>
        <w:t>All schools work in partnership with their school community to improve outcomes for children and young people. Sharing this information with parents and the wider school community helps to suppor</w:t>
      </w:r>
      <w:r>
        <w:rPr>
          <w:rFonts w:eastAsia="Arial" w:cs="Times New Roman"/>
          <w:color w:val="000000"/>
          <w:sz w:val="20"/>
          <w:szCs w:val="20"/>
          <w:lang w:val="en-AU" w:eastAsia="en-AU"/>
        </w:rPr>
        <w:t>t community engagement in student learning, a key priority of the Framework for Improving Student Outcomes.</w:t>
      </w:r>
    </w:p>
    <w:p w:rsidR="00F33684" w:rsidRDefault="00E32BE3">
      <w:pPr>
        <w:rPr>
          <w:rFonts w:ascii="Times New Roman" w:eastAsia="Times New Roman" w:hAnsi="Times New Roman" w:cs="Times New Roman"/>
          <w:sz w:val="20"/>
          <w:szCs w:val="20"/>
          <w:lang w:val="en-AU" w:eastAsia="en-AU"/>
        </w:rPr>
      </w:pPr>
    </w:p>
    <w:p w:rsidR="00F33684" w:rsidRDefault="00E32BE3">
      <w:pPr>
        <w:pStyle w:val="ESBodyText"/>
      </w:pPr>
      <w:r>
        <w:t>Refer to the ‘How to read the Performance Summary’ section for help on how to interpret this report.</w:t>
      </w:r>
    </w:p>
    <w:p w:rsidR="00F33684" w:rsidRDefault="00E32BE3">
      <w:pPr>
        <w:pStyle w:val="ESHeading2"/>
        <w:rPr>
          <w:color w:val="00008B"/>
          <w:u w:val="single"/>
        </w:rPr>
      </w:pPr>
      <w:r>
        <w:rPr>
          <w:color w:val="00008B"/>
          <w:u w:val="single"/>
        </w:rPr>
        <w:t>School profile</w:t>
      </w:r>
    </w:p>
    <w:p w:rsidR="00F33684" w:rsidRDefault="00E32BE3">
      <w:pPr>
        <w:pStyle w:val="ESBodyText"/>
        <w:ind w:left="709" w:hanging="709"/>
        <w:rPr>
          <w:b/>
          <w:i/>
        </w:rPr>
      </w:pPr>
      <w:r>
        <w:rPr>
          <w:b/>
          <w:i/>
        </w:rPr>
        <w:t>Key:</w:t>
      </w:r>
      <w:r>
        <w:rPr>
          <w:b/>
          <w:i/>
        </w:rPr>
        <w:tab/>
        <w:t>“Middle 60 percent low” to</w:t>
      </w:r>
      <w:r>
        <w:rPr>
          <w:b/>
          <w:i/>
        </w:rPr>
        <w:t xml:space="preserve"> “middle 60 percent high” is the range of results for the middle 60 percent of Victorian Government specialist school type.</w:t>
      </w:r>
    </w:p>
    <w:p w:rsidR="00F33684" w:rsidRDefault="00E32BE3">
      <w:pPr>
        <w:pStyle w:val="ESImageorGraphTitle"/>
        <w:spacing w:before="240"/>
        <w:rPr>
          <w:color w:val="00008B"/>
        </w:rPr>
      </w:pPr>
      <w:r>
        <w:rPr>
          <w:color w:val="00008B"/>
        </w:rPr>
        <w:t>Enrolment Profile</w:t>
      </w:r>
    </w:p>
    <w:p w:rsidR="00F33684" w:rsidRDefault="00E32BE3">
      <w:pPr>
        <w:pStyle w:val="ESBodyText"/>
      </w:pPr>
      <w:r>
        <w:t>A total of   53 students were enrolled at this school in 2019,   13 female and   40 male.</w:t>
      </w:r>
    </w:p>
    <w:p w:rsidR="00F33684" w:rsidRDefault="00E32BE3">
      <w:pPr>
        <w:pStyle w:val="ESBodyText"/>
      </w:pPr>
      <w:r>
        <w:t>0 percent of students ha</w:t>
      </w:r>
      <w:r>
        <w:t>d English as an additional language and 11 percent were Aboriginal or Torres Strait Islander.</w:t>
      </w:r>
    </w:p>
    <w:p w:rsidR="00F33684" w:rsidRDefault="00E32BE3">
      <w:pPr>
        <w:pStyle w:val="ESBodyText"/>
      </w:pPr>
    </w:p>
    <w:p w:rsidR="00F33684" w:rsidRDefault="00E32BE3">
      <w:pPr>
        <w:pStyle w:val="ESBodyText"/>
        <w:rPr>
          <w:rFonts w:eastAsiaTheme="majorEastAsia" w:cstheme="majorBidi"/>
          <w:b/>
          <w:bCs/>
          <w:color w:val="00008B"/>
          <w:szCs w:val="20"/>
        </w:rPr>
      </w:pPr>
      <w:r>
        <w:rPr>
          <w:rFonts w:eastAsiaTheme="majorEastAsia" w:cstheme="majorBidi"/>
          <w:b/>
          <w:bCs/>
          <w:color w:val="00008B"/>
          <w:szCs w:val="20"/>
        </w:rPr>
        <w:t>Overall Socio-Economic Profile</w:t>
      </w:r>
    </w:p>
    <w:p w:rsidR="00F33684" w:rsidRDefault="00E32BE3">
      <w:pPr>
        <w:pStyle w:val="ESBodyText"/>
      </w:pPr>
      <w:r>
        <w:t>The overall school’s socio-economic profile is based on the school's Student Family Occupation and Education index (SFOE) which ta</w:t>
      </w:r>
      <w:r>
        <w:t>kes into account parents' occupations and education.</w:t>
      </w:r>
    </w:p>
    <w:p w:rsidR="00F33684" w:rsidRDefault="00E32BE3">
      <w:pPr>
        <w:pStyle w:val="ESBodyText"/>
      </w:pPr>
      <w:r>
        <w:t>Possible socio-economic band values are: Low, Low-Medium, Medium and High.</w:t>
      </w:r>
    </w:p>
    <w:p w:rsidR="00F33684" w:rsidRDefault="00E32BE3">
      <w:pPr>
        <w:pStyle w:val="ESBodyText"/>
      </w:pPr>
      <w:r>
        <w:t>This school’s socio-economic band value is: Low</w:t>
      </w:r>
    </w:p>
    <w:p w:rsidR="00F33684" w:rsidRDefault="00E32BE3">
      <w:pPr>
        <w:pStyle w:val="ESBodyText"/>
        <w:rPr>
          <w:rFonts w:eastAsiaTheme="majorEastAsia" w:cstheme="majorBidi"/>
          <w:bCs/>
          <w:szCs w:val="20"/>
        </w:rPr>
      </w:pPr>
    </w:p>
    <w:p w:rsidR="00F33684" w:rsidRDefault="00E32BE3">
      <w:pPr>
        <w:pStyle w:val="ESBodyText"/>
        <w:rPr>
          <w:rFonts w:eastAsiaTheme="majorEastAsia" w:cstheme="majorBidi"/>
          <w:b/>
          <w:bCs/>
          <w:color w:val="00008B"/>
          <w:szCs w:val="20"/>
        </w:rPr>
      </w:pPr>
      <w:r>
        <w:rPr>
          <w:rFonts w:eastAsiaTheme="majorEastAsia" w:cstheme="majorBidi"/>
          <w:b/>
          <w:bCs/>
          <w:color w:val="00008B"/>
          <w:szCs w:val="20"/>
        </w:rPr>
        <w:t>Parent Satisfaction Summary</w:t>
      </w:r>
    </w:p>
    <w:p w:rsidR="00F33684" w:rsidRDefault="00E32BE3">
      <w:pPr>
        <w:pStyle w:val="ESBodyText"/>
      </w:pPr>
      <w:r>
        <w:t xml:space="preserve">The percent endorsement by parents on their school </w:t>
      </w:r>
      <w:r>
        <w:t>satisfaction level, as reported in the annual Parent Opinion Survey.</w:t>
      </w:r>
    </w:p>
    <w:p w:rsidR="00F33684" w:rsidRDefault="00E32BE3">
      <w:pPr>
        <w:pStyle w:val="ESBodyText"/>
      </w:pPr>
      <w:r>
        <w:t>Percent endorsement indicates the percent of positive responses (agree or strongly agree) from parents who responded to the survey.</w:t>
      </w:r>
    </w:p>
    <w:tbl>
      <w:tblPr>
        <w:tblStyle w:val="GridTable2-Accent61"/>
        <w:tblW w:w="4853" w:type="pct"/>
        <w:jc w:val="center"/>
        <w:tblLook w:val="04A0" w:firstRow="1" w:lastRow="0" w:firstColumn="1" w:lastColumn="0" w:noHBand="0" w:noVBand="1"/>
        <w:tblCaption w:val="Parent Opinion survey results"/>
      </w:tblPr>
      <w:tblGrid>
        <w:gridCol w:w="3561"/>
        <w:gridCol w:w="1722"/>
        <w:gridCol w:w="1722"/>
        <w:gridCol w:w="1722"/>
        <w:gridCol w:w="1722"/>
      </w:tblGrid>
      <w:tr w:rsidR="00C440C6" w:rsidTr="00C440C6">
        <w:trPr>
          <w:cnfStyle w:val="100000000000" w:firstRow="1" w:lastRow="0" w:firstColumn="0" w:lastColumn="0" w:oddVBand="0" w:evenVBand="0" w:oddHBand="0" w:evenHBand="0" w:firstRowFirstColumn="0" w:firstRowLastColumn="0" w:lastRowFirstColumn="0" w:lastRowLastColumn="0"/>
          <w:trHeight w:val="463"/>
          <w:tblHeader/>
          <w:jc w:val="center"/>
        </w:trPr>
        <w:tc>
          <w:tcPr>
            <w:cnfStyle w:val="001000000000" w:firstRow="0" w:lastRow="0" w:firstColumn="1" w:lastColumn="0" w:oddVBand="0" w:evenVBand="0" w:oddHBand="0" w:evenHBand="0" w:firstRowFirstColumn="0" w:firstRowLastColumn="0" w:lastRowFirstColumn="0" w:lastRowLastColumn="0"/>
            <w:tcW w:w="1704" w:type="pct"/>
            <w:shd w:val="clear" w:color="auto" w:fill="106CB5"/>
            <w:vAlign w:val="center"/>
            <w:hideMark/>
          </w:tcPr>
          <w:p w:rsidR="00F33684" w:rsidRDefault="00E32BE3">
            <w:pPr>
              <w:spacing w:before="40" w:after="40"/>
              <w:rPr>
                <w:rFonts w:cs="Times New Roman"/>
                <w:color w:val="FFFFFF"/>
                <w:szCs w:val="22"/>
              </w:rPr>
            </w:pPr>
            <w:bookmarkStart w:id="1" w:name="Table_1"/>
            <w:r>
              <w:rPr>
                <w:rFonts w:cs="Times New Roman"/>
                <w:color w:val="FFFFFF"/>
                <w:szCs w:val="22"/>
              </w:rPr>
              <w:t>Parent Satisfaction</w:t>
            </w:r>
          </w:p>
        </w:tc>
        <w:tc>
          <w:tcPr>
            <w:tcW w:w="824" w:type="pct"/>
            <w:shd w:val="clear" w:color="auto" w:fill="106CB5"/>
            <w:vAlign w:val="center"/>
            <w:hideMark/>
          </w:tcPr>
          <w:p w:rsidR="00F33684" w:rsidRDefault="00E32BE3">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color w:val="FFFFFF"/>
                <w:szCs w:val="22"/>
              </w:rPr>
              <w:t>School</w:t>
            </w:r>
          </w:p>
        </w:tc>
        <w:tc>
          <w:tcPr>
            <w:tcW w:w="824" w:type="pct"/>
            <w:shd w:val="clear" w:color="auto" w:fill="106CB5"/>
            <w:vAlign w:val="center"/>
            <w:hideMark/>
          </w:tcPr>
          <w:p w:rsidR="00F33684" w:rsidRDefault="00E32BE3">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color w:val="FFFFFF"/>
                <w:szCs w:val="22"/>
              </w:rPr>
              <w:t>State Median</w:t>
            </w:r>
          </w:p>
        </w:tc>
        <w:tc>
          <w:tcPr>
            <w:tcW w:w="824" w:type="pct"/>
            <w:shd w:val="clear" w:color="auto" w:fill="106CB5"/>
            <w:vAlign w:val="center"/>
          </w:tcPr>
          <w:p w:rsidR="00F33684" w:rsidRDefault="00E32BE3">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bCs w:val="0"/>
                <w:color w:val="FFFFFF"/>
                <w:szCs w:val="22"/>
              </w:rPr>
              <w:t>Middle 60 perce</w:t>
            </w:r>
            <w:r>
              <w:rPr>
                <w:rFonts w:cs="Times New Roman"/>
                <w:bCs w:val="0"/>
                <w:color w:val="FFFFFF"/>
                <w:szCs w:val="22"/>
              </w:rPr>
              <w:t>nt low</w:t>
            </w:r>
          </w:p>
        </w:tc>
        <w:tc>
          <w:tcPr>
            <w:tcW w:w="824" w:type="pct"/>
            <w:shd w:val="clear" w:color="auto" w:fill="106CB5"/>
            <w:vAlign w:val="center"/>
            <w:hideMark/>
          </w:tcPr>
          <w:p w:rsidR="00F33684" w:rsidRDefault="00E32BE3">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bCs w:val="0"/>
                <w:color w:val="FFFFFF"/>
                <w:szCs w:val="22"/>
              </w:rPr>
              <w:t>Middle 60 percent high</w:t>
            </w:r>
          </w:p>
        </w:tc>
      </w:tr>
      <w:tr w:rsidR="00C440C6" w:rsidTr="00C440C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04" w:type="pct"/>
            <w:tcBorders>
              <w:top w:val="single" w:sz="12" w:space="0" w:color="FFFFFF"/>
              <w:bottom w:val="single" w:sz="2" w:space="0" w:color="106CB5"/>
            </w:tcBorders>
            <w:shd w:val="clear" w:color="auto" w:fill="FFFFFF"/>
            <w:noWrap/>
            <w:vAlign w:val="center"/>
          </w:tcPr>
          <w:p w:rsidR="00F33684" w:rsidRDefault="00E32BE3">
            <w:pPr>
              <w:spacing w:before="40" w:after="40"/>
              <w:rPr>
                <w:rFonts w:cs="Times New Roman"/>
                <w:szCs w:val="22"/>
              </w:rPr>
            </w:pPr>
          </w:p>
        </w:tc>
        <w:tc>
          <w:tcPr>
            <w:tcW w:w="824" w:type="pct"/>
            <w:tcBorders>
              <w:top w:val="single" w:sz="12" w:space="0" w:color="FFFFFF"/>
              <w:bottom w:val="single" w:sz="2" w:space="0" w:color="106CB5"/>
            </w:tcBorders>
            <w:shd w:val="clear" w:color="auto" w:fill="FFFFFF"/>
            <w:noWrap/>
            <w:vAlign w:val="center"/>
          </w:tcPr>
          <w:p w:rsidR="00F33684" w:rsidRDefault="00E32BE3">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szCs w:val="22"/>
              </w:rPr>
            </w:pPr>
            <w:r>
              <w:rPr>
                <w:rFonts w:cs="Times New Roman"/>
                <w:szCs w:val="22"/>
              </w:rPr>
              <w:t>Percent</w:t>
            </w:r>
          </w:p>
        </w:tc>
        <w:tc>
          <w:tcPr>
            <w:tcW w:w="824" w:type="pct"/>
            <w:tcBorders>
              <w:top w:val="single" w:sz="12" w:space="0" w:color="FFFFFF"/>
              <w:bottom w:val="single" w:sz="2" w:space="0" w:color="106CB5"/>
            </w:tcBorders>
            <w:shd w:val="clear" w:color="auto" w:fill="FFFFFF"/>
            <w:noWrap/>
            <w:vAlign w:val="center"/>
          </w:tcPr>
          <w:p w:rsidR="00F33684" w:rsidRDefault="00E32BE3">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szCs w:val="22"/>
              </w:rPr>
            </w:pPr>
            <w:r>
              <w:rPr>
                <w:rFonts w:cs="Times New Roman"/>
                <w:szCs w:val="22"/>
              </w:rPr>
              <w:t>Percent</w:t>
            </w:r>
          </w:p>
        </w:tc>
        <w:tc>
          <w:tcPr>
            <w:tcW w:w="824" w:type="pct"/>
            <w:tcBorders>
              <w:top w:val="single" w:sz="12" w:space="0" w:color="FFFFFF"/>
              <w:bottom w:val="single" w:sz="2" w:space="0" w:color="106CB5"/>
            </w:tcBorders>
            <w:shd w:val="clear" w:color="auto" w:fill="FFFFFF"/>
          </w:tcPr>
          <w:p w:rsidR="00F33684" w:rsidRDefault="00E32BE3">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szCs w:val="22"/>
              </w:rPr>
            </w:pPr>
            <w:r>
              <w:rPr>
                <w:rFonts w:cs="Times New Roman"/>
                <w:szCs w:val="22"/>
              </w:rPr>
              <w:t>Percent</w:t>
            </w:r>
          </w:p>
        </w:tc>
        <w:tc>
          <w:tcPr>
            <w:tcW w:w="824" w:type="pct"/>
            <w:tcBorders>
              <w:top w:val="single" w:sz="12" w:space="0" w:color="FFFFFF"/>
              <w:bottom w:val="single" w:sz="2" w:space="0" w:color="106CB5"/>
            </w:tcBorders>
            <w:shd w:val="clear" w:color="auto" w:fill="FFFFFF"/>
            <w:noWrap/>
            <w:vAlign w:val="center"/>
          </w:tcPr>
          <w:p w:rsidR="00F33684" w:rsidRDefault="00E32BE3">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szCs w:val="22"/>
              </w:rPr>
            </w:pPr>
            <w:r>
              <w:rPr>
                <w:rFonts w:cs="Times New Roman"/>
                <w:szCs w:val="22"/>
              </w:rPr>
              <w:t>Percent</w:t>
            </w:r>
          </w:p>
        </w:tc>
      </w:tr>
      <w:tr w:rsidR="00C440C6" w:rsidTr="00C440C6">
        <w:trPr>
          <w:cnfStyle w:val="000000100000" w:firstRow="0" w:lastRow="0" w:firstColumn="0" w:lastColumn="0" w:oddVBand="0" w:evenVBand="0" w:oddHBand="1" w:evenHBand="0" w:firstRowFirstColumn="0" w:firstRowLastColumn="0" w:lastRowFirstColumn="0" w:lastRowLastColumn="0"/>
          <w:trHeight w:val="398"/>
          <w:jc w:val="center"/>
        </w:trPr>
        <w:tc>
          <w:tcPr>
            <w:cnfStyle w:val="001000000000" w:firstRow="0" w:lastRow="0" w:firstColumn="1" w:lastColumn="0" w:oddVBand="0" w:evenVBand="0" w:oddHBand="0" w:evenHBand="0" w:firstRowFirstColumn="0" w:firstRowLastColumn="0" w:lastRowFirstColumn="0" w:lastRowLastColumn="0"/>
            <w:tcW w:w="1704" w:type="pct"/>
            <w:tcBorders>
              <w:top w:val="single" w:sz="2" w:space="0" w:color="106CB5"/>
              <w:bottom w:val="single" w:sz="2" w:space="0" w:color="106CB5"/>
            </w:tcBorders>
            <w:shd w:val="clear" w:color="auto" w:fill="D9D9D9"/>
            <w:noWrap/>
            <w:vAlign w:val="center"/>
            <w:hideMark/>
          </w:tcPr>
          <w:p w:rsidR="00F33684" w:rsidRDefault="00E32BE3">
            <w:pPr>
              <w:spacing w:before="40" w:after="40"/>
              <w:rPr>
                <w:rFonts w:cs="Times New Roman"/>
                <w:szCs w:val="22"/>
              </w:rPr>
            </w:pPr>
            <w:r>
              <w:rPr>
                <w:rFonts w:cs="Times New Roman"/>
                <w:szCs w:val="22"/>
              </w:rPr>
              <w:t>Percent endorsement (latest year)</w:t>
            </w:r>
          </w:p>
        </w:tc>
        <w:tc>
          <w:tcPr>
            <w:tcW w:w="824" w:type="pct"/>
            <w:tcBorders>
              <w:top w:val="single" w:sz="2" w:space="0" w:color="106CB5"/>
              <w:bottom w:val="single" w:sz="2" w:space="0" w:color="106CB5"/>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 xml:space="preserve"> 93.9</w:t>
            </w:r>
          </w:p>
        </w:tc>
        <w:tc>
          <w:tcPr>
            <w:tcW w:w="824" w:type="pct"/>
            <w:tcBorders>
              <w:top w:val="single" w:sz="2" w:space="0" w:color="106CB5"/>
              <w:bottom w:val="single" w:sz="2" w:space="0" w:color="106CB5"/>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 xml:space="preserve"> 88.6</w:t>
            </w:r>
          </w:p>
        </w:tc>
        <w:tc>
          <w:tcPr>
            <w:tcW w:w="824" w:type="pct"/>
            <w:tcBorders>
              <w:top w:val="single" w:sz="2" w:space="0" w:color="106CB5"/>
              <w:bottom w:val="single" w:sz="2" w:space="0" w:color="106CB5"/>
            </w:tcBorders>
            <w:shd w:val="clear" w:color="auto" w:fill="D9D9D9"/>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 xml:space="preserve"> 83.0</w:t>
            </w:r>
          </w:p>
        </w:tc>
        <w:tc>
          <w:tcPr>
            <w:tcW w:w="824" w:type="pct"/>
            <w:tcBorders>
              <w:top w:val="single" w:sz="2" w:space="0" w:color="106CB5"/>
              <w:bottom w:val="single" w:sz="2" w:space="0" w:color="106CB5"/>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 xml:space="preserve"> 93.9</w:t>
            </w:r>
          </w:p>
        </w:tc>
      </w:tr>
      <w:bookmarkEnd w:id="1"/>
    </w:tbl>
    <w:p w:rsidR="00F33684" w:rsidRDefault="00E32BE3">
      <w:pPr>
        <w:pStyle w:val="ESBodyText"/>
      </w:pPr>
    </w:p>
    <w:p w:rsidR="00F33684" w:rsidRDefault="00E32BE3">
      <w:pPr>
        <w:pStyle w:val="ESBodyText"/>
        <w:rPr>
          <w:rFonts w:eastAsiaTheme="majorEastAsia" w:cstheme="majorBidi"/>
          <w:b/>
          <w:bCs/>
          <w:color w:val="00008B"/>
          <w:szCs w:val="20"/>
        </w:rPr>
      </w:pPr>
      <w:r>
        <w:rPr>
          <w:rFonts w:eastAsiaTheme="majorEastAsia" w:cstheme="majorBidi"/>
          <w:b/>
          <w:bCs/>
          <w:color w:val="00008B"/>
          <w:szCs w:val="20"/>
        </w:rPr>
        <w:t>School Staff Survey</w:t>
      </w:r>
    </w:p>
    <w:p w:rsidR="00F33684" w:rsidRDefault="00E32BE3">
      <w:pPr>
        <w:pStyle w:val="ESBodyText"/>
      </w:pPr>
      <w:r>
        <w:t>The percent endorsement by staff on School Climate, as reported in the annual School Staff Survey.</w:t>
      </w:r>
    </w:p>
    <w:p w:rsidR="00F33684" w:rsidRDefault="00E32BE3">
      <w:pPr>
        <w:pStyle w:val="ESBodyText"/>
      </w:pPr>
      <w:r>
        <w:t xml:space="preserve">Percent </w:t>
      </w:r>
      <w:r>
        <w:t>endorsement indicates the percent of positive responses (agree or strongly agree) from staff who responded to the survey.</w:t>
      </w:r>
    </w:p>
    <w:p w:rsidR="00F33684" w:rsidRDefault="00E32BE3">
      <w:pPr>
        <w:pStyle w:val="ESBodyText"/>
      </w:pPr>
      <w:r>
        <w:t>Data is suppressed for schools with three or less respondents to the survey for confidentiality reasons.</w:t>
      </w:r>
    </w:p>
    <w:tbl>
      <w:tblPr>
        <w:tblStyle w:val="GridTable2-Accent61"/>
        <w:tblW w:w="4853" w:type="pct"/>
        <w:jc w:val="center"/>
        <w:tblLook w:val="04A0" w:firstRow="1" w:lastRow="0" w:firstColumn="1" w:lastColumn="0" w:noHBand="0" w:noVBand="1"/>
        <w:tblCaption w:val="School staff survey results"/>
      </w:tblPr>
      <w:tblGrid>
        <w:gridCol w:w="3561"/>
        <w:gridCol w:w="1722"/>
        <w:gridCol w:w="1722"/>
        <w:gridCol w:w="1722"/>
        <w:gridCol w:w="1722"/>
      </w:tblGrid>
      <w:tr w:rsidR="00C440C6" w:rsidTr="00C440C6">
        <w:trPr>
          <w:cnfStyle w:val="100000000000" w:firstRow="1" w:lastRow="0" w:firstColumn="0" w:lastColumn="0" w:oddVBand="0" w:evenVBand="0" w:oddHBand="0" w:evenHBand="0" w:firstRowFirstColumn="0" w:firstRowLastColumn="0" w:lastRowFirstColumn="0" w:lastRowLastColumn="0"/>
          <w:trHeight w:val="479"/>
          <w:tblHeader/>
          <w:jc w:val="center"/>
        </w:trPr>
        <w:tc>
          <w:tcPr>
            <w:cnfStyle w:val="001000000000" w:firstRow="0" w:lastRow="0" w:firstColumn="1" w:lastColumn="0" w:oddVBand="0" w:evenVBand="0" w:oddHBand="0" w:evenHBand="0" w:firstRowFirstColumn="0" w:firstRowLastColumn="0" w:lastRowFirstColumn="0" w:lastRowLastColumn="0"/>
            <w:tcW w:w="1704" w:type="pct"/>
            <w:shd w:val="clear" w:color="auto" w:fill="106CB5"/>
            <w:vAlign w:val="center"/>
            <w:hideMark/>
          </w:tcPr>
          <w:p w:rsidR="00F33684" w:rsidRDefault="00E32BE3">
            <w:pPr>
              <w:spacing w:before="40" w:after="40"/>
              <w:rPr>
                <w:rFonts w:cs="Times New Roman"/>
                <w:color w:val="FFFFFF"/>
                <w:szCs w:val="22"/>
              </w:rPr>
            </w:pPr>
            <w:r>
              <w:rPr>
                <w:rFonts w:cs="Times New Roman"/>
                <w:color w:val="FFFFFF"/>
                <w:szCs w:val="22"/>
              </w:rPr>
              <w:t>School Climate</w:t>
            </w:r>
          </w:p>
        </w:tc>
        <w:tc>
          <w:tcPr>
            <w:tcW w:w="824" w:type="pct"/>
            <w:shd w:val="clear" w:color="auto" w:fill="106CB5"/>
            <w:vAlign w:val="center"/>
            <w:hideMark/>
          </w:tcPr>
          <w:p w:rsidR="00F33684" w:rsidRDefault="00E32BE3">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color w:val="FFFFFF"/>
                <w:szCs w:val="22"/>
              </w:rPr>
              <w:t>School</w:t>
            </w:r>
          </w:p>
        </w:tc>
        <w:tc>
          <w:tcPr>
            <w:tcW w:w="824" w:type="pct"/>
            <w:shd w:val="clear" w:color="auto" w:fill="106CB5"/>
            <w:vAlign w:val="center"/>
            <w:hideMark/>
          </w:tcPr>
          <w:p w:rsidR="00F33684" w:rsidRDefault="00E32BE3">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color w:val="FFFFFF"/>
                <w:szCs w:val="22"/>
              </w:rPr>
              <w:t>State M</w:t>
            </w:r>
            <w:r>
              <w:rPr>
                <w:rFonts w:cs="Times New Roman"/>
                <w:color w:val="FFFFFF"/>
                <w:szCs w:val="22"/>
              </w:rPr>
              <w:t>edian</w:t>
            </w:r>
          </w:p>
        </w:tc>
        <w:tc>
          <w:tcPr>
            <w:tcW w:w="824" w:type="pct"/>
            <w:shd w:val="clear" w:color="auto" w:fill="106CB5"/>
            <w:vAlign w:val="center"/>
          </w:tcPr>
          <w:p w:rsidR="00F33684" w:rsidRDefault="00E32BE3">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bCs w:val="0"/>
                <w:color w:val="FFFFFF"/>
                <w:szCs w:val="22"/>
              </w:rPr>
              <w:t>Middle 60 percent low</w:t>
            </w:r>
          </w:p>
        </w:tc>
        <w:tc>
          <w:tcPr>
            <w:tcW w:w="824" w:type="pct"/>
            <w:shd w:val="clear" w:color="auto" w:fill="106CB5"/>
            <w:vAlign w:val="center"/>
            <w:hideMark/>
          </w:tcPr>
          <w:p w:rsidR="00F33684" w:rsidRDefault="00E32BE3">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bCs w:val="0"/>
                <w:color w:val="FFFFFF"/>
                <w:szCs w:val="22"/>
              </w:rPr>
              <w:t>Middle 60 percent  high</w:t>
            </w:r>
          </w:p>
        </w:tc>
      </w:tr>
      <w:tr w:rsidR="00C440C6" w:rsidTr="00C440C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04" w:type="pct"/>
            <w:tcBorders>
              <w:top w:val="single" w:sz="12" w:space="0" w:color="FFFFFF"/>
              <w:bottom w:val="single" w:sz="2" w:space="0" w:color="106CB5"/>
            </w:tcBorders>
            <w:shd w:val="clear" w:color="auto" w:fill="FFFFFF"/>
            <w:noWrap/>
            <w:vAlign w:val="center"/>
          </w:tcPr>
          <w:p w:rsidR="00F33684" w:rsidRDefault="00E32BE3">
            <w:pPr>
              <w:spacing w:before="40" w:after="40"/>
              <w:rPr>
                <w:rFonts w:cs="Times New Roman"/>
                <w:szCs w:val="22"/>
              </w:rPr>
            </w:pPr>
          </w:p>
        </w:tc>
        <w:tc>
          <w:tcPr>
            <w:tcW w:w="824" w:type="pct"/>
            <w:tcBorders>
              <w:top w:val="single" w:sz="12" w:space="0" w:color="FFFFFF"/>
              <w:bottom w:val="single" w:sz="2" w:space="0" w:color="106CB5"/>
            </w:tcBorders>
            <w:shd w:val="clear" w:color="auto" w:fill="FFFFFF"/>
            <w:noWrap/>
            <w:vAlign w:val="center"/>
          </w:tcPr>
          <w:p w:rsidR="00F33684" w:rsidRDefault="00E32BE3">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szCs w:val="22"/>
              </w:rPr>
            </w:pPr>
            <w:r>
              <w:rPr>
                <w:rFonts w:cs="Times New Roman"/>
                <w:szCs w:val="22"/>
              </w:rPr>
              <w:t>Percent</w:t>
            </w:r>
          </w:p>
        </w:tc>
        <w:tc>
          <w:tcPr>
            <w:tcW w:w="824" w:type="pct"/>
            <w:tcBorders>
              <w:top w:val="single" w:sz="12" w:space="0" w:color="FFFFFF"/>
              <w:bottom w:val="single" w:sz="2" w:space="0" w:color="106CB5"/>
            </w:tcBorders>
            <w:shd w:val="clear" w:color="auto" w:fill="FFFFFF"/>
            <w:noWrap/>
            <w:vAlign w:val="center"/>
          </w:tcPr>
          <w:p w:rsidR="00F33684" w:rsidRDefault="00E32BE3">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szCs w:val="22"/>
              </w:rPr>
            </w:pPr>
            <w:r>
              <w:rPr>
                <w:rFonts w:cs="Times New Roman"/>
                <w:szCs w:val="22"/>
              </w:rPr>
              <w:t>Percent</w:t>
            </w:r>
          </w:p>
        </w:tc>
        <w:tc>
          <w:tcPr>
            <w:tcW w:w="824" w:type="pct"/>
            <w:tcBorders>
              <w:top w:val="single" w:sz="12" w:space="0" w:color="FFFFFF"/>
              <w:bottom w:val="single" w:sz="2" w:space="0" w:color="106CB5"/>
            </w:tcBorders>
            <w:shd w:val="clear" w:color="auto" w:fill="FFFFFF"/>
          </w:tcPr>
          <w:p w:rsidR="00F33684" w:rsidRDefault="00E32BE3">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szCs w:val="22"/>
              </w:rPr>
            </w:pPr>
            <w:r>
              <w:rPr>
                <w:rFonts w:cs="Times New Roman"/>
                <w:szCs w:val="22"/>
              </w:rPr>
              <w:t>Percent</w:t>
            </w:r>
          </w:p>
        </w:tc>
        <w:tc>
          <w:tcPr>
            <w:tcW w:w="824" w:type="pct"/>
            <w:tcBorders>
              <w:top w:val="single" w:sz="12" w:space="0" w:color="FFFFFF"/>
              <w:bottom w:val="single" w:sz="2" w:space="0" w:color="106CB5"/>
            </w:tcBorders>
            <w:shd w:val="clear" w:color="auto" w:fill="FFFFFF"/>
            <w:noWrap/>
            <w:vAlign w:val="center"/>
          </w:tcPr>
          <w:p w:rsidR="00F33684" w:rsidRDefault="00E32BE3">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szCs w:val="22"/>
              </w:rPr>
            </w:pPr>
            <w:r>
              <w:rPr>
                <w:rFonts w:cs="Times New Roman"/>
                <w:szCs w:val="22"/>
              </w:rPr>
              <w:t>Percent</w:t>
            </w:r>
          </w:p>
        </w:tc>
      </w:tr>
      <w:tr w:rsidR="00C440C6" w:rsidTr="00C440C6">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704" w:type="pct"/>
            <w:tcBorders>
              <w:top w:val="single" w:sz="2" w:space="0" w:color="106CB5"/>
              <w:bottom w:val="single" w:sz="2" w:space="0" w:color="106CB5"/>
            </w:tcBorders>
            <w:shd w:val="clear" w:color="auto" w:fill="D9D9D9"/>
            <w:noWrap/>
            <w:vAlign w:val="center"/>
            <w:hideMark/>
          </w:tcPr>
          <w:p w:rsidR="00F33684" w:rsidRDefault="00E32BE3">
            <w:pPr>
              <w:spacing w:before="40" w:after="40"/>
              <w:rPr>
                <w:rFonts w:cs="Times New Roman"/>
                <w:szCs w:val="22"/>
              </w:rPr>
            </w:pPr>
            <w:r>
              <w:rPr>
                <w:rFonts w:cs="Times New Roman"/>
                <w:szCs w:val="22"/>
              </w:rPr>
              <w:t>Percent endorsement (latest year)</w:t>
            </w:r>
          </w:p>
        </w:tc>
        <w:tc>
          <w:tcPr>
            <w:tcW w:w="824" w:type="pct"/>
            <w:tcBorders>
              <w:top w:val="single" w:sz="2" w:space="0" w:color="106CB5"/>
              <w:bottom w:val="single" w:sz="2" w:space="0" w:color="106CB5"/>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 xml:space="preserve"> 78.9</w:t>
            </w:r>
          </w:p>
        </w:tc>
        <w:tc>
          <w:tcPr>
            <w:tcW w:w="824" w:type="pct"/>
            <w:tcBorders>
              <w:top w:val="single" w:sz="2" w:space="0" w:color="106CB5"/>
              <w:bottom w:val="single" w:sz="2" w:space="0" w:color="106CB5"/>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 xml:space="preserve"> 64.9</w:t>
            </w:r>
          </w:p>
        </w:tc>
        <w:tc>
          <w:tcPr>
            <w:tcW w:w="824" w:type="pct"/>
            <w:tcBorders>
              <w:top w:val="single" w:sz="2" w:space="0" w:color="106CB5"/>
              <w:bottom w:val="single" w:sz="2" w:space="0" w:color="106CB5"/>
            </w:tcBorders>
            <w:shd w:val="clear" w:color="auto" w:fill="D9D9D9"/>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 xml:space="preserve"> 56.9</w:t>
            </w:r>
          </w:p>
        </w:tc>
        <w:tc>
          <w:tcPr>
            <w:tcW w:w="824" w:type="pct"/>
            <w:tcBorders>
              <w:top w:val="single" w:sz="2" w:space="0" w:color="106CB5"/>
              <w:bottom w:val="single" w:sz="2" w:space="0" w:color="106CB5"/>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 xml:space="preserve"> 73.7</w:t>
            </w:r>
          </w:p>
        </w:tc>
      </w:tr>
    </w:tbl>
    <w:p w:rsidR="00F33684" w:rsidRDefault="00E32BE3">
      <w:pPr>
        <w:rPr>
          <w:rFonts w:eastAsiaTheme="majorEastAsia" w:cstheme="majorBidi"/>
          <w:bCs/>
          <w:caps/>
        </w:rPr>
      </w:pPr>
      <w:r>
        <w:br w:type="page"/>
      </w:r>
    </w:p>
    <w:p w:rsidR="00F33684" w:rsidRDefault="00E32BE3">
      <w:pPr>
        <w:pStyle w:val="ESHeading2"/>
        <w:rPr>
          <w:color w:val="00008B"/>
          <w:u w:val="single"/>
        </w:rPr>
      </w:pPr>
      <w:r>
        <w:rPr>
          <w:color w:val="00008B"/>
          <w:u w:val="single"/>
        </w:rPr>
        <w:lastRenderedPageBreak/>
        <w:t>Achievement</w:t>
      </w:r>
    </w:p>
    <w:p w:rsidR="00F33684" w:rsidRDefault="00E32BE3">
      <w:pPr>
        <w:pStyle w:val="ESBodyText"/>
        <w:rPr>
          <w:rFonts w:eastAsiaTheme="majorEastAsia" w:cstheme="majorBidi"/>
          <w:b/>
          <w:bCs/>
          <w:color w:val="00008B"/>
          <w:szCs w:val="20"/>
        </w:rPr>
      </w:pPr>
      <w:r>
        <w:rPr>
          <w:rFonts w:eastAsiaTheme="majorEastAsia" w:cstheme="majorBidi"/>
          <w:b/>
          <w:bCs/>
          <w:color w:val="00008B"/>
          <w:szCs w:val="20"/>
        </w:rPr>
        <w:t>Teacher Judgement of student achievement</w:t>
      </w:r>
    </w:p>
    <w:p w:rsidR="00F33684" w:rsidRDefault="00E32BE3">
      <w:pPr>
        <w:pStyle w:val="ESBodyText"/>
      </w:pPr>
      <w:r>
        <w:t xml:space="preserve">Percentage of students working at each achievement </w:t>
      </w:r>
      <w:r>
        <w:t>level in:</w:t>
      </w:r>
    </w:p>
    <w:p w:rsidR="00F33684" w:rsidRDefault="00E32BE3">
      <w:pPr>
        <w:pStyle w:val="ESBodyText"/>
        <w:numPr>
          <w:ilvl w:val="0"/>
          <w:numId w:val="27"/>
        </w:numPr>
        <w:ind w:left="1077"/>
      </w:pPr>
      <w:r>
        <w:t>English</w:t>
      </w:r>
    </w:p>
    <w:p w:rsidR="00F33684" w:rsidRDefault="00E32BE3">
      <w:pPr>
        <w:pStyle w:val="ESBodyText"/>
        <w:numPr>
          <w:ilvl w:val="0"/>
          <w:numId w:val="27"/>
        </w:numPr>
        <w:spacing w:after="240"/>
        <w:ind w:left="1077"/>
      </w:pPr>
      <w:r>
        <w:t>Mathematics</w:t>
      </w:r>
    </w:p>
    <w:tbl>
      <w:tblPr>
        <w:tblStyle w:val="GridTable2-Accent61"/>
        <w:tblW w:w="4833" w:type="pct"/>
        <w:jc w:val="center"/>
        <w:tblLook w:val="04A0" w:firstRow="1" w:lastRow="0" w:firstColumn="1" w:lastColumn="0" w:noHBand="0" w:noVBand="1"/>
        <w:tblCaption w:val="Teacher judgment of student achievement"/>
      </w:tblPr>
      <w:tblGrid>
        <w:gridCol w:w="3956"/>
        <w:gridCol w:w="3226"/>
        <w:gridCol w:w="3224"/>
      </w:tblGrid>
      <w:tr w:rsidR="00C440C6" w:rsidTr="00C440C6">
        <w:trPr>
          <w:cnfStyle w:val="100000000000" w:firstRow="1" w:lastRow="0" w:firstColumn="0" w:lastColumn="0" w:oddVBand="0" w:evenVBand="0" w:oddHBand="0" w:evenHBand="0" w:firstRowFirstColumn="0" w:firstRowLastColumn="0" w:lastRowFirstColumn="0" w:lastRowLastColumn="0"/>
          <w:trHeight w:val="560"/>
          <w:tblHeader/>
          <w:jc w:val="center"/>
        </w:trPr>
        <w:tc>
          <w:tcPr>
            <w:cnfStyle w:val="001000000000" w:firstRow="0" w:lastRow="0" w:firstColumn="1" w:lastColumn="0" w:oddVBand="0" w:evenVBand="0" w:oddHBand="0" w:evenHBand="0" w:firstRowFirstColumn="0" w:firstRowLastColumn="0" w:lastRowFirstColumn="0" w:lastRowLastColumn="0"/>
            <w:tcW w:w="1901" w:type="pct"/>
            <w:tcBorders>
              <w:left w:val="nil"/>
              <w:bottom w:val="nil"/>
            </w:tcBorders>
            <w:shd w:val="clear" w:color="auto" w:fill="106CB5"/>
            <w:vAlign w:val="center"/>
            <w:hideMark/>
          </w:tcPr>
          <w:p w:rsidR="00F33684" w:rsidRDefault="00E32BE3">
            <w:pPr>
              <w:rPr>
                <w:rFonts w:cs="Times New Roman"/>
                <w:color w:val="FFFFFF"/>
                <w:szCs w:val="22"/>
              </w:rPr>
            </w:pPr>
            <w:r>
              <w:rPr>
                <w:rFonts w:eastAsiaTheme="majorEastAsia" w:cstheme="majorBidi"/>
                <w:color w:val="FFFFFF" w:themeColor="background1"/>
                <w:szCs w:val="20"/>
              </w:rPr>
              <w:t>Teacher Judgment of student achievement (latest year)</w:t>
            </w:r>
          </w:p>
        </w:tc>
        <w:tc>
          <w:tcPr>
            <w:tcW w:w="1550" w:type="pct"/>
            <w:tcBorders>
              <w:bottom w:val="nil"/>
            </w:tcBorders>
            <w:shd w:val="clear" w:color="auto" w:fill="106CB5"/>
            <w:vAlign w:val="center"/>
            <w:hideMark/>
          </w:tcPr>
          <w:p w:rsidR="00F33684" w:rsidRDefault="00E32BE3">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Cs w:val="22"/>
              </w:rPr>
            </w:pPr>
            <w:r>
              <w:rPr>
                <w:rFonts w:cs="Times New Roman"/>
                <w:color w:val="FFFFFF" w:themeColor="background1"/>
                <w:szCs w:val="22"/>
              </w:rPr>
              <w:t>English</w:t>
            </w:r>
          </w:p>
        </w:tc>
        <w:tc>
          <w:tcPr>
            <w:tcW w:w="1549" w:type="pct"/>
            <w:tcBorders>
              <w:bottom w:val="nil"/>
              <w:right w:val="nil"/>
            </w:tcBorders>
            <w:shd w:val="clear" w:color="auto" w:fill="106CB5"/>
            <w:vAlign w:val="center"/>
            <w:hideMark/>
          </w:tcPr>
          <w:p w:rsidR="00F33684" w:rsidRDefault="00E32BE3">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Cs w:val="22"/>
              </w:rPr>
            </w:pPr>
            <w:r>
              <w:rPr>
                <w:rFonts w:cs="Times New Roman"/>
                <w:color w:val="FFFFFF" w:themeColor="background1"/>
                <w:szCs w:val="22"/>
              </w:rPr>
              <w:t>Mathematics</w:t>
            </w: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single" w:sz="12" w:space="0" w:color="106CB5"/>
              <w:right w:val="single" w:sz="2" w:space="0" w:color="FFFFFF"/>
            </w:tcBorders>
            <w:shd w:val="clear" w:color="auto" w:fill="FFFFFF" w:themeFill="background1"/>
            <w:noWrap/>
            <w:vAlign w:val="center"/>
            <w:hideMark/>
          </w:tcPr>
          <w:p w:rsidR="00F33684" w:rsidRDefault="00E32BE3">
            <w:pPr>
              <w:spacing w:before="40" w:after="40"/>
              <w:jc w:val="center"/>
              <w:rPr>
                <w:rFonts w:cs="Times New Roman"/>
                <w:szCs w:val="22"/>
              </w:rPr>
            </w:pPr>
            <w:r>
              <w:rPr>
                <w:rFonts w:cs="Times New Roman"/>
                <w:szCs w:val="22"/>
              </w:rPr>
              <w:t>Achievement Level</w:t>
            </w:r>
          </w:p>
        </w:tc>
        <w:tc>
          <w:tcPr>
            <w:tcW w:w="1550" w:type="pct"/>
            <w:tcBorders>
              <w:top w:val="nil"/>
              <w:left w:val="single" w:sz="2" w:space="0" w:color="FFFFFF"/>
              <w:bottom w:val="single" w:sz="12" w:space="0" w:color="106CB5"/>
              <w:right w:val="single" w:sz="2" w:space="0" w:color="FFFFFF"/>
            </w:tcBorders>
            <w:shd w:val="clear" w:color="auto" w:fill="FFFFFF" w:themeFill="background1"/>
            <w:noWrap/>
            <w:vAlign w:val="center"/>
            <w:hideMark/>
          </w:tcPr>
          <w:p w:rsidR="00F33684" w:rsidRDefault="00E32BE3">
            <w:pPr>
              <w:jc w:val="center"/>
              <w:cnfStyle w:val="000000100000" w:firstRow="0" w:lastRow="0" w:firstColumn="0" w:lastColumn="0" w:oddVBand="0" w:evenVBand="0" w:oddHBand="1" w:evenHBand="0" w:firstRowFirstColumn="0" w:firstRowLastColumn="0" w:lastRowFirstColumn="0" w:lastRowLastColumn="0"/>
              <w:rPr>
                <w:rFonts w:cs="Times New Roman"/>
                <w:b/>
                <w:szCs w:val="22"/>
              </w:rPr>
            </w:pPr>
            <w:r>
              <w:rPr>
                <w:rFonts w:cs="Times New Roman"/>
                <w:b/>
                <w:szCs w:val="22"/>
              </w:rPr>
              <w:t>Percent</w:t>
            </w:r>
          </w:p>
        </w:tc>
        <w:tc>
          <w:tcPr>
            <w:tcW w:w="1549" w:type="pct"/>
            <w:tcBorders>
              <w:top w:val="nil"/>
              <w:left w:val="single" w:sz="2" w:space="0" w:color="FFFFFF"/>
              <w:bottom w:val="single" w:sz="12" w:space="0" w:color="106CB5"/>
              <w:right w:val="nil"/>
            </w:tcBorders>
            <w:shd w:val="clear" w:color="auto" w:fill="FFFFFF" w:themeFill="background1"/>
            <w:vAlign w:val="center"/>
            <w:hideMark/>
          </w:tcPr>
          <w:p w:rsidR="00F33684" w:rsidRDefault="00E32BE3">
            <w:pPr>
              <w:jc w:val="center"/>
              <w:cnfStyle w:val="000000100000" w:firstRow="0" w:lastRow="0" w:firstColumn="0" w:lastColumn="0" w:oddVBand="0" w:evenVBand="0" w:oddHBand="1" w:evenHBand="0" w:firstRowFirstColumn="0" w:firstRowLastColumn="0" w:lastRowFirstColumn="0" w:lastRowLastColumn="0"/>
              <w:rPr>
                <w:rFonts w:cs="Times New Roman"/>
                <w:b/>
                <w:szCs w:val="22"/>
              </w:rPr>
            </w:pPr>
            <w:r>
              <w:rPr>
                <w:rFonts w:cs="Times New Roman"/>
                <w:b/>
                <w:szCs w:val="22"/>
              </w:rPr>
              <w:t>Percent</w:t>
            </w:r>
          </w:p>
        </w:tc>
      </w:tr>
      <w:tr w:rsidR="00C440C6" w:rsidTr="00C440C6">
        <w:trPr>
          <w:jc w:val="center"/>
        </w:trPr>
        <w:tc>
          <w:tcPr>
            <w:cnfStyle w:val="001000000000" w:firstRow="0" w:lastRow="0" w:firstColumn="1" w:lastColumn="0" w:oddVBand="0" w:evenVBand="0" w:oddHBand="0" w:evenHBand="0" w:firstRowFirstColumn="0" w:firstRowLastColumn="0" w:lastRowFirstColumn="0" w:lastRowLastColumn="0"/>
            <w:tcW w:w="1901" w:type="pct"/>
            <w:tcBorders>
              <w:top w:val="single" w:sz="12" w:space="0" w:color="106CB5"/>
              <w:left w:val="nil"/>
              <w:bottom w:val="nil"/>
              <w:right w:val="nil"/>
            </w:tcBorders>
            <w:shd w:val="clear" w:color="auto" w:fill="D9D9D9"/>
            <w:noWrap/>
            <w:vAlign w:val="center"/>
            <w:hideMark/>
          </w:tcPr>
          <w:p w:rsidR="00F33684" w:rsidRDefault="00E32BE3">
            <w:pPr>
              <w:tabs>
                <w:tab w:val="left" w:pos="1880"/>
              </w:tabs>
              <w:spacing w:before="40" w:after="40"/>
              <w:rPr>
                <w:rFonts w:cs="Times New Roman"/>
                <w:szCs w:val="22"/>
              </w:rPr>
            </w:pPr>
            <w:r>
              <w:rPr>
                <w:rFonts w:cs="Times New Roman"/>
                <w:b w:val="0"/>
                <w:szCs w:val="22"/>
              </w:rPr>
              <w:tab/>
              <w:t>A</w:t>
            </w:r>
          </w:p>
        </w:tc>
        <w:tc>
          <w:tcPr>
            <w:tcW w:w="1550" w:type="pct"/>
            <w:tcBorders>
              <w:top w:val="single" w:sz="12" w:space="0" w:color="106CB5"/>
              <w:left w:val="nil"/>
              <w:bottom w:val="nil"/>
              <w:right w:val="nil"/>
            </w:tcBorders>
            <w:shd w:val="clear" w:color="auto" w:fill="D9D9D9"/>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 xml:space="preserve"> 2.6</w:t>
            </w:r>
          </w:p>
        </w:tc>
        <w:tc>
          <w:tcPr>
            <w:tcW w:w="1549" w:type="pct"/>
            <w:tcBorders>
              <w:top w:val="single" w:sz="12" w:space="0" w:color="106CB5"/>
              <w:left w:val="nil"/>
              <w:bottom w:val="nil"/>
              <w:right w:val="nil"/>
            </w:tcBorders>
            <w:shd w:val="clear" w:color="auto" w:fill="D9D9D9"/>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 xml:space="preserve"> 2.6</w:t>
            </w: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auto"/>
            <w:noWrap/>
            <w:vAlign w:val="center"/>
            <w:hideMark/>
          </w:tcPr>
          <w:p w:rsidR="00F33684" w:rsidRDefault="00E32BE3">
            <w:pPr>
              <w:tabs>
                <w:tab w:val="left" w:pos="1880"/>
              </w:tabs>
              <w:spacing w:before="40" w:after="40"/>
              <w:rPr>
                <w:rFonts w:cs="Times New Roman"/>
                <w:szCs w:val="22"/>
              </w:rPr>
            </w:pPr>
            <w:r>
              <w:rPr>
                <w:rFonts w:cs="Times New Roman"/>
                <w:b w:val="0"/>
                <w:szCs w:val="22"/>
              </w:rPr>
              <w:tab/>
              <w:t>B</w:t>
            </w:r>
          </w:p>
        </w:tc>
        <w:tc>
          <w:tcPr>
            <w:tcW w:w="1550" w:type="pct"/>
            <w:tcBorders>
              <w:top w:val="nil"/>
              <w:left w:val="nil"/>
              <w:bottom w:val="nil"/>
              <w:right w:val="nil"/>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c>
          <w:tcPr>
            <w:tcW w:w="1549" w:type="pct"/>
            <w:tcBorders>
              <w:top w:val="nil"/>
              <w:left w:val="nil"/>
              <w:bottom w:val="nil"/>
              <w:right w:val="nil"/>
            </w:tcBorders>
            <w:shd w:val="clear" w:color="auto" w:fill="auto"/>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r>
      <w:tr w:rsidR="00C440C6" w:rsidTr="00C440C6">
        <w:trPr>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D9D9D9" w:themeFill="background1" w:themeFillShade="D9"/>
            <w:noWrap/>
            <w:vAlign w:val="center"/>
            <w:hideMark/>
          </w:tcPr>
          <w:p w:rsidR="00F33684" w:rsidRDefault="00E32BE3">
            <w:pPr>
              <w:tabs>
                <w:tab w:val="left" w:pos="1880"/>
              </w:tabs>
              <w:spacing w:before="40" w:after="40"/>
              <w:rPr>
                <w:rFonts w:cs="Times New Roman"/>
                <w:szCs w:val="22"/>
              </w:rPr>
            </w:pPr>
            <w:r>
              <w:rPr>
                <w:rFonts w:cs="Times New Roman"/>
                <w:b w:val="0"/>
                <w:szCs w:val="22"/>
              </w:rPr>
              <w:tab/>
              <w:t>C</w:t>
            </w:r>
          </w:p>
        </w:tc>
        <w:tc>
          <w:tcPr>
            <w:tcW w:w="1550" w:type="pct"/>
            <w:tcBorders>
              <w:top w:val="nil"/>
              <w:left w:val="nil"/>
              <w:bottom w:val="nil"/>
              <w:right w:val="nil"/>
            </w:tcBorders>
            <w:shd w:val="clear" w:color="auto" w:fill="D9D9D9" w:themeFill="background1" w:themeFillShade="D9"/>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 xml:space="preserve"> 3.5</w:t>
            </w:r>
          </w:p>
        </w:tc>
        <w:tc>
          <w:tcPr>
            <w:tcW w:w="1549" w:type="pct"/>
            <w:tcBorders>
              <w:top w:val="nil"/>
              <w:left w:val="nil"/>
              <w:bottom w:val="nil"/>
              <w:right w:val="nil"/>
            </w:tcBorders>
            <w:shd w:val="clear" w:color="auto" w:fill="D9D9D9" w:themeFill="background1" w:themeFillShade="D9"/>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 xml:space="preserve"> 2.6</w:t>
            </w: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auto"/>
            <w:noWrap/>
            <w:vAlign w:val="center"/>
            <w:hideMark/>
          </w:tcPr>
          <w:p w:rsidR="00F33684" w:rsidRDefault="00E32BE3">
            <w:pPr>
              <w:tabs>
                <w:tab w:val="left" w:pos="1880"/>
              </w:tabs>
              <w:spacing w:before="40" w:after="40"/>
              <w:rPr>
                <w:rFonts w:cs="Times New Roman"/>
                <w:szCs w:val="22"/>
              </w:rPr>
            </w:pPr>
            <w:r>
              <w:rPr>
                <w:rFonts w:cs="Times New Roman"/>
                <w:b w:val="0"/>
                <w:szCs w:val="22"/>
              </w:rPr>
              <w:tab/>
              <w:t>D</w:t>
            </w:r>
          </w:p>
        </w:tc>
        <w:tc>
          <w:tcPr>
            <w:tcW w:w="1550" w:type="pct"/>
            <w:tcBorders>
              <w:top w:val="nil"/>
              <w:left w:val="nil"/>
              <w:bottom w:val="nil"/>
              <w:right w:val="nil"/>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 xml:space="preserve"> 7.0</w:t>
            </w:r>
          </w:p>
        </w:tc>
        <w:tc>
          <w:tcPr>
            <w:tcW w:w="1549" w:type="pct"/>
            <w:tcBorders>
              <w:top w:val="nil"/>
              <w:left w:val="nil"/>
              <w:bottom w:val="nil"/>
              <w:right w:val="nil"/>
            </w:tcBorders>
            <w:shd w:val="clear" w:color="auto" w:fill="auto"/>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 xml:space="preserve"> 5.3</w:t>
            </w:r>
          </w:p>
        </w:tc>
      </w:tr>
      <w:tr w:rsidR="00C440C6" w:rsidTr="00C440C6">
        <w:trPr>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D9D9D9" w:themeFill="background1" w:themeFillShade="D9"/>
            <w:noWrap/>
            <w:vAlign w:val="center"/>
          </w:tcPr>
          <w:p w:rsidR="00F33684" w:rsidRDefault="00E32BE3">
            <w:pPr>
              <w:tabs>
                <w:tab w:val="left" w:pos="1880"/>
              </w:tabs>
              <w:spacing w:before="40" w:after="40"/>
              <w:rPr>
                <w:rFonts w:cs="Times New Roman"/>
                <w:szCs w:val="22"/>
              </w:rPr>
            </w:pPr>
            <w:r>
              <w:rPr>
                <w:rFonts w:cs="Times New Roman"/>
                <w:b w:val="0"/>
                <w:szCs w:val="22"/>
              </w:rPr>
              <w:tab/>
              <w:t>0.5</w:t>
            </w:r>
          </w:p>
        </w:tc>
        <w:tc>
          <w:tcPr>
            <w:tcW w:w="1550" w:type="pct"/>
            <w:tcBorders>
              <w:top w:val="nil"/>
              <w:left w:val="nil"/>
              <w:bottom w:val="nil"/>
              <w:right w:val="nil"/>
            </w:tcBorders>
            <w:shd w:val="clear" w:color="auto" w:fill="D9D9D9" w:themeFill="background1" w:themeFillShade="D9"/>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c>
          <w:tcPr>
            <w:tcW w:w="1549" w:type="pct"/>
            <w:tcBorders>
              <w:top w:val="nil"/>
              <w:left w:val="nil"/>
              <w:bottom w:val="nil"/>
              <w:right w:val="nil"/>
            </w:tcBorders>
            <w:shd w:val="clear" w:color="auto" w:fill="D9D9D9" w:themeFill="background1" w:themeFillShade="D9"/>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auto"/>
            <w:noWrap/>
            <w:vAlign w:val="center"/>
            <w:hideMark/>
          </w:tcPr>
          <w:p w:rsidR="00F33684" w:rsidRDefault="00E32BE3">
            <w:pPr>
              <w:tabs>
                <w:tab w:val="left" w:pos="1880"/>
              </w:tabs>
              <w:spacing w:before="40" w:after="40"/>
              <w:rPr>
                <w:rFonts w:cs="Times New Roman"/>
                <w:szCs w:val="22"/>
              </w:rPr>
            </w:pPr>
            <w:r>
              <w:rPr>
                <w:rFonts w:cs="Times New Roman"/>
                <w:b w:val="0"/>
                <w:szCs w:val="22"/>
              </w:rPr>
              <w:tab/>
              <w:t>F</w:t>
            </w:r>
          </w:p>
        </w:tc>
        <w:tc>
          <w:tcPr>
            <w:tcW w:w="1550" w:type="pct"/>
            <w:tcBorders>
              <w:top w:val="nil"/>
              <w:left w:val="nil"/>
              <w:bottom w:val="nil"/>
              <w:right w:val="nil"/>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12.3</w:t>
            </w:r>
          </w:p>
        </w:tc>
        <w:tc>
          <w:tcPr>
            <w:tcW w:w="1549" w:type="pct"/>
            <w:tcBorders>
              <w:top w:val="nil"/>
              <w:left w:val="nil"/>
              <w:bottom w:val="nil"/>
              <w:right w:val="nil"/>
            </w:tcBorders>
            <w:shd w:val="clear" w:color="auto" w:fill="auto"/>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19.7</w:t>
            </w:r>
          </w:p>
        </w:tc>
      </w:tr>
      <w:tr w:rsidR="00C440C6" w:rsidTr="00C440C6">
        <w:trPr>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D9D9D9" w:themeFill="background1" w:themeFillShade="D9"/>
            <w:noWrap/>
            <w:vAlign w:val="center"/>
          </w:tcPr>
          <w:p w:rsidR="00F33684" w:rsidRDefault="00E32BE3">
            <w:pPr>
              <w:tabs>
                <w:tab w:val="left" w:pos="1880"/>
              </w:tabs>
              <w:spacing w:before="40" w:after="40"/>
              <w:rPr>
                <w:rFonts w:cs="Times New Roman"/>
                <w:szCs w:val="22"/>
              </w:rPr>
            </w:pPr>
            <w:r>
              <w:rPr>
                <w:rFonts w:cs="Times New Roman"/>
                <w:b w:val="0"/>
                <w:szCs w:val="22"/>
              </w:rPr>
              <w:tab/>
              <w:t>F.5</w:t>
            </w:r>
          </w:p>
        </w:tc>
        <w:tc>
          <w:tcPr>
            <w:tcW w:w="1550" w:type="pct"/>
            <w:tcBorders>
              <w:top w:val="nil"/>
              <w:left w:val="nil"/>
              <w:bottom w:val="nil"/>
              <w:right w:val="nil"/>
            </w:tcBorders>
            <w:shd w:val="clear" w:color="auto" w:fill="D9D9D9" w:themeFill="background1" w:themeFillShade="D9"/>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 xml:space="preserve"> 5.3</w:t>
            </w:r>
          </w:p>
        </w:tc>
        <w:tc>
          <w:tcPr>
            <w:tcW w:w="1549" w:type="pct"/>
            <w:tcBorders>
              <w:top w:val="nil"/>
              <w:left w:val="nil"/>
              <w:bottom w:val="nil"/>
              <w:right w:val="nil"/>
            </w:tcBorders>
            <w:shd w:val="clear" w:color="auto" w:fill="D9D9D9" w:themeFill="background1" w:themeFillShade="D9"/>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 xml:space="preserve"> 2.6</w:t>
            </w: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auto"/>
            <w:noWrap/>
            <w:vAlign w:val="center"/>
            <w:hideMark/>
          </w:tcPr>
          <w:p w:rsidR="00F33684" w:rsidRDefault="00E32BE3">
            <w:pPr>
              <w:tabs>
                <w:tab w:val="left" w:pos="1880"/>
              </w:tabs>
              <w:spacing w:before="40" w:after="40"/>
              <w:rPr>
                <w:rFonts w:cs="Times New Roman"/>
                <w:szCs w:val="22"/>
              </w:rPr>
            </w:pPr>
            <w:r>
              <w:rPr>
                <w:rFonts w:cs="Times New Roman"/>
                <w:b w:val="0"/>
                <w:szCs w:val="22"/>
              </w:rPr>
              <w:tab/>
              <w:t>1</w:t>
            </w:r>
          </w:p>
        </w:tc>
        <w:tc>
          <w:tcPr>
            <w:tcW w:w="1550" w:type="pct"/>
            <w:tcBorders>
              <w:top w:val="nil"/>
              <w:left w:val="nil"/>
              <w:bottom w:val="nil"/>
              <w:right w:val="nil"/>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10.5</w:t>
            </w:r>
          </w:p>
        </w:tc>
        <w:tc>
          <w:tcPr>
            <w:tcW w:w="1549" w:type="pct"/>
            <w:tcBorders>
              <w:top w:val="nil"/>
              <w:left w:val="nil"/>
              <w:bottom w:val="nil"/>
              <w:right w:val="nil"/>
            </w:tcBorders>
            <w:shd w:val="clear" w:color="auto" w:fill="auto"/>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 xml:space="preserve"> 3.9</w:t>
            </w:r>
          </w:p>
        </w:tc>
      </w:tr>
      <w:tr w:rsidR="00C440C6" w:rsidTr="00C440C6">
        <w:trPr>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D9D9D9" w:themeFill="background1" w:themeFillShade="D9"/>
            <w:noWrap/>
            <w:vAlign w:val="center"/>
          </w:tcPr>
          <w:p w:rsidR="00F33684" w:rsidRDefault="00E32BE3">
            <w:pPr>
              <w:tabs>
                <w:tab w:val="left" w:pos="1880"/>
              </w:tabs>
              <w:spacing w:before="40" w:after="40"/>
              <w:rPr>
                <w:rFonts w:cs="Times New Roman"/>
                <w:szCs w:val="22"/>
              </w:rPr>
            </w:pPr>
            <w:r>
              <w:rPr>
                <w:rFonts w:cs="Times New Roman"/>
                <w:b w:val="0"/>
                <w:szCs w:val="22"/>
              </w:rPr>
              <w:tab/>
              <w:t>1.5</w:t>
            </w:r>
          </w:p>
        </w:tc>
        <w:tc>
          <w:tcPr>
            <w:tcW w:w="1550" w:type="pct"/>
            <w:tcBorders>
              <w:top w:val="nil"/>
              <w:left w:val="nil"/>
              <w:bottom w:val="nil"/>
              <w:right w:val="nil"/>
            </w:tcBorders>
            <w:shd w:val="clear" w:color="auto" w:fill="D9D9D9" w:themeFill="background1" w:themeFillShade="D9"/>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 xml:space="preserve"> 2.6</w:t>
            </w:r>
          </w:p>
        </w:tc>
        <w:tc>
          <w:tcPr>
            <w:tcW w:w="1549" w:type="pct"/>
            <w:tcBorders>
              <w:top w:val="nil"/>
              <w:left w:val="nil"/>
              <w:bottom w:val="nil"/>
              <w:right w:val="nil"/>
            </w:tcBorders>
            <w:shd w:val="clear" w:color="auto" w:fill="D9D9D9" w:themeFill="background1" w:themeFillShade="D9"/>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auto"/>
            <w:noWrap/>
            <w:vAlign w:val="center"/>
            <w:hideMark/>
          </w:tcPr>
          <w:p w:rsidR="00F33684" w:rsidRDefault="00E32BE3">
            <w:pPr>
              <w:tabs>
                <w:tab w:val="left" w:pos="1880"/>
              </w:tabs>
              <w:spacing w:before="40" w:after="40"/>
              <w:rPr>
                <w:rFonts w:cs="Times New Roman"/>
                <w:szCs w:val="22"/>
              </w:rPr>
            </w:pPr>
            <w:r>
              <w:rPr>
                <w:rFonts w:cs="Times New Roman"/>
                <w:b w:val="0"/>
                <w:szCs w:val="22"/>
              </w:rPr>
              <w:tab/>
              <w:t>2</w:t>
            </w:r>
          </w:p>
        </w:tc>
        <w:tc>
          <w:tcPr>
            <w:tcW w:w="1550" w:type="pct"/>
            <w:tcBorders>
              <w:top w:val="nil"/>
              <w:left w:val="nil"/>
              <w:bottom w:val="nil"/>
              <w:right w:val="nil"/>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41.2</w:t>
            </w:r>
          </w:p>
        </w:tc>
        <w:tc>
          <w:tcPr>
            <w:tcW w:w="1549" w:type="pct"/>
            <w:tcBorders>
              <w:top w:val="nil"/>
              <w:left w:val="nil"/>
              <w:bottom w:val="nil"/>
              <w:right w:val="nil"/>
            </w:tcBorders>
            <w:shd w:val="clear" w:color="auto" w:fill="auto"/>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42.1</w:t>
            </w:r>
          </w:p>
        </w:tc>
      </w:tr>
      <w:tr w:rsidR="00C440C6" w:rsidTr="00C440C6">
        <w:trPr>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D9D9D9" w:themeFill="background1" w:themeFillShade="D9"/>
            <w:noWrap/>
            <w:vAlign w:val="center"/>
          </w:tcPr>
          <w:p w:rsidR="00F33684" w:rsidRDefault="00E32BE3">
            <w:pPr>
              <w:tabs>
                <w:tab w:val="left" w:pos="1880"/>
              </w:tabs>
              <w:spacing w:before="40" w:after="40"/>
              <w:rPr>
                <w:rFonts w:cs="Times New Roman"/>
                <w:szCs w:val="22"/>
              </w:rPr>
            </w:pPr>
            <w:r>
              <w:rPr>
                <w:rFonts w:cs="Times New Roman"/>
                <w:b w:val="0"/>
                <w:szCs w:val="22"/>
              </w:rPr>
              <w:tab/>
              <w:t>2.5</w:t>
            </w:r>
          </w:p>
        </w:tc>
        <w:tc>
          <w:tcPr>
            <w:tcW w:w="1550" w:type="pct"/>
            <w:tcBorders>
              <w:top w:val="nil"/>
              <w:left w:val="nil"/>
              <w:bottom w:val="nil"/>
              <w:right w:val="nil"/>
            </w:tcBorders>
            <w:shd w:val="clear" w:color="auto" w:fill="D9D9D9" w:themeFill="background1" w:themeFillShade="D9"/>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 xml:space="preserve"> 4.4</w:t>
            </w:r>
          </w:p>
        </w:tc>
        <w:tc>
          <w:tcPr>
            <w:tcW w:w="1549" w:type="pct"/>
            <w:tcBorders>
              <w:top w:val="nil"/>
              <w:left w:val="nil"/>
              <w:bottom w:val="nil"/>
              <w:right w:val="nil"/>
            </w:tcBorders>
            <w:shd w:val="clear" w:color="auto" w:fill="D9D9D9" w:themeFill="background1" w:themeFillShade="D9"/>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auto"/>
            <w:noWrap/>
            <w:vAlign w:val="center"/>
            <w:hideMark/>
          </w:tcPr>
          <w:p w:rsidR="00F33684" w:rsidRDefault="00E32BE3">
            <w:pPr>
              <w:tabs>
                <w:tab w:val="left" w:pos="1880"/>
              </w:tabs>
              <w:spacing w:before="40" w:after="40"/>
              <w:rPr>
                <w:rFonts w:cs="Times New Roman"/>
                <w:szCs w:val="22"/>
              </w:rPr>
            </w:pPr>
            <w:r>
              <w:rPr>
                <w:rFonts w:cs="Times New Roman"/>
                <w:b w:val="0"/>
                <w:szCs w:val="22"/>
              </w:rPr>
              <w:tab/>
              <w:t>3</w:t>
            </w:r>
          </w:p>
        </w:tc>
        <w:tc>
          <w:tcPr>
            <w:tcW w:w="1550" w:type="pct"/>
            <w:tcBorders>
              <w:top w:val="nil"/>
              <w:left w:val="nil"/>
              <w:bottom w:val="nil"/>
              <w:right w:val="nil"/>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 xml:space="preserve"> 7.9</w:t>
            </w:r>
          </w:p>
        </w:tc>
        <w:tc>
          <w:tcPr>
            <w:tcW w:w="1549" w:type="pct"/>
            <w:tcBorders>
              <w:top w:val="nil"/>
              <w:left w:val="nil"/>
              <w:bottom w:val="nil"/>
              <w:right w:val="nil"/>
            </w:tcBorders>
            <w:shd w:val="clear" w:color="auto" w:fill="auto"/>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 xml:space="preserve"> 9.2</w:t>
            </w:r>
          </w:p>
        </w:tc>
      </w:tr>
      <w:tr w:rsidR="00C440C6" w:rsidTr="00C440C6">
        <w:trPr>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D9D9D9" w:themeFill="background1" w:themeFillShade="D9"/>
            <w:noWrap/>
            <w:vAlign w:val="center"/>
          </w:tcPr>
          <w:p w:rsidR="00F33684" w:rsidRDefault="00E32BE3">
            <w:pPr>
              <w:tabs>
                <w:tab w:val="left" w:pos="1880"/>
              </w:tabs>
              <w:spacing w:before="40" w:after="40"/>
              <w:rPr>
                <w:rFonts w:cs="Times New Roman"/>
                <w:szCs w:val="22"/>
              </w:rPr>
            </w:pPr>
            <w:r>
              <w:rPr>
                <w:rFonts w:cs="Times New Roman"/>
                <w:b w:val="0"/>
                <w:szCs w:val="22"/>
              </w:rPr>
              <w:tab/>
              <w:t>3.5</w:t>
            </w:r>
          </w:p>
        </w:tc>
        <w:tc>
          <w:tcPr>
            <w:tcW w:w="1550" w:type="pct"/>
            <w:tcBorders>
              <w:top w:val="nil"/>
              <w:left w:val="nil"/>
              <w:bottom w:val="nil"/>
              <w:right w:val="nil"/>
            </w:tcBorders>
            <w:shd w:val="clear" w:color="auto" w:fill="D9D9D9" w:themeFill="background1" w:themeFillShade="D9"/>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 xml:space="preserve"> 2.6</w:t>
            </w:r>
          </w:p>
        </w:tc>
        <w:tc>
          <w:tcPr>
            <w:tcW w:w="1549" w:type="pct"/>
            <w:tcBorders>
              <w:top w:val="nil"/>
              <w:left w:val="nil"/>
              <w:bottom w:val="nil"/>
              <w:right w:val="nil"/>
            </w:tcBorders>
            <w:shd w:val="clear" w:color="auto" w:fill="D9D9D9" w:themeFill="background1" w:themeFillShade="D9"/>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auto"/>
            <w:noWrap/>
            <w:vAlign w:val="center"/>
            <w:hideMark/>
          </w:tcPr>
          <w:p w:rsidR="00F33684" w:rsidRDefault="00E32BE3">
            <w:pPr>
              <w:tabs>
                <w:tab w:val="left" w:pos="1880"/>
              </w:tabs>
              <w:spacing w:before="40" w:after="40"/>
              <w:rPr>
                <w:rFonts w:cs="Times New Roman"/>
                <w:szCs w:val="22"/>
              </w:rPr>
            </w:pPr>
            <w:r>
              <w:rPr>
                <w:rFonts w:cs="Times New Roman"/>
                <w:b w:val="0"/>
                <w:szCs w:val="22"/>
              </w:rPr>
              <w:tab/>
              <w:t>4</w:t>
            </w:r>
          </w:p>
        </w:tc>
        <w:tc>
          <w:tcPr>
            <w:tcW w:w="1550" w:type="pct"/>
            <w:tcBorders>
              <w:top w:val="nil"/>
              <w:left w:val="nil"/>
              <w:bottom w:val="nil"/>
              <w:right w:val="nil"/>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c>
          <w:tcPr>
            <w:tcW w:w="1549" w:type="pct"/>
            <w:tcBorders>
              <w:top w:val="nil"/>
              <w:left w:val="nil"/>
              <w:bottom w:val="nil"/>
              <w:right w:val="nil"/>
            </w:tcBorders>
            <w:shd w:val="clear" w:color="auto" w:fill="auto"/>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11.8</w:t>
            </w:r>
          </w:p>
        </w:tc>
      </w:tr>
      <w:tr w:rsidR="00C440C6" w:rsidTr="00C440C6">
        <w:trPr>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D9D9D9" w:themeFill="background1" w:themeFillShade="D9"/>
            <w:noWrap/>
            <w:vAlign w:val="center"/>
          </w:tcPr>
          <w:p w:rsidR="00F33684" w:rsidRDefault="00E32BE3">
            <w:pPr>
              <w:tabs>
                <w:tab w:val="left" w:pos="1880"/>
              </w:tabs>
              <w:spacing w:before="40" w:after="40"/>
              <w:rPr>
                <w:rFonts w:cs="Times New Roman"/>
                <w:szCs w:val="22"/>
              </w:rPr>
            </w:pPr>
            <w:r>
              <w:rPr>
                <w:rFonts w:cs="Times New Roman"/>
                <w:b w:val="0"/>
                <w:szCs w:val="22"/>
              </w:rPr>
              <w:tab/>
              <w:t>4.5</w:t>
            </w:r>
          </w:p>
        </w:tc>
        <w:tc>
          <w:tcPr>
            <w:tcW w:w="1550" w:type="pct"/>
            <w:tcBorders>
              <w:top w:val="nil"/>
              <w:left w:val="nil"/>
              <w:bottom w:val="nil"/>
              <w:right w:val="nil"/>
            </w:tcBorders>
            <w:shd w:val="clear" w:color="auto" w:fill="D9D9D9" w:themeFill="background1" w:themeFillShade="D9"/>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c>
          <w:tcPr>
            <w:tcW w:w="1549" w:type="pct"/>
            <w:tcBorders>
              <w:top w:val="nil"/>
              <w:left w:val="nil"/>
              <w:bottom w:val="nil"/>
              <w:right w:val="nil"/>
            </w:tcBorders>
            <w:shd w:val="clear" w:color="auto" w:fill="D9D9D9" w:themeFill="background1" w:themeFillShade="D9"/>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auto"/>
            <w:noWrap/>
            <w:vAlign w:val="center"/>
            <w:hideMark/>
          </w:tcPr>
          <w:p w:rsidR="00F33684" w:rsidRDefault="00E32BE3">
            <w:pPr>
              <w:tabs>
                <w:tab w:val="left" w:pos="1880"/>
              </w:tabs>
              <w:spacing w:before="40" w:after="40"/>
              <w:rPr>
                <w:rFonts w:cs="Times New Roman"/>
                <w:szCs w:val="22"/>
              </w:rPr>
            </w:pPr>
            <w:r>
              <w:rPr>
                <w:rFonts w:cs="Times New Roman"/>
                <w:b w:val="0"/>
                <w:szCs w:val="22"/>
              </w:rPr>
              <w:tab/>
              <w:t>5</w:t>
            </w:r>
          </w:p>
        </w:tc>
        <w:tc>
          <w:tcPr>
            <w:tcW w:w="1550" w:type="pct"/>
            <w:tcBorders>
              <w:top w:val="nil"/>
              <w:left w:val="nil"/>
              <w:bottom w:val="nil"/>
              <w:right w:val="nil"/>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c>
          <w:tcPr>
            <w:tcW w:w="1549" w:type="pct"/>
            <w:tcBorders>
              <w:top w:val="nil"/>
              <w:left w:val="nil"/>
              <w:bottom w:val="nil"/>
              <w:right w:val="nil"/>
            </w:tcBorders>
            <w:shd w:val="clear" w:color="auto" w:fill="auto"/>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r>
      <w:tr w:rsidR="00C440C6" w:rsidTr="00C440C6">
        <w:trPr>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D9D9D9" w:themeFill="background1" w:themeFillShade="D9"/>
            <w:noWrap/>
            <w:vAlign w:val="center"/>
          </w:tcPr>
          <w:p w:rsidR="00F33684" w:rsidRDefault="00E32BE3">
            <w:pPr>
              <w:tabs>
                <w:tab w:val="left" w:pos="1880"/>
              </w:tabs>
              <w:spacing w:before="40" w:after="40"/>
              <w:rPr>
                <w:rFonts w:cs="Times New Roman"/>
                <w:szCs w:val="22"/>
              </w:rPr>
            </w:pPr>
            <w:r>
              <w:rPr>
                <w:rFonts w:cs="Times New Roman"/>
                <w:b w:val="0"/>
                <w:szCs w:val="22"/>
              </w:rPr>
              <w:tab/>
              <w:t>5.5</w:t>
            </w:r>
          </w:p>
        </w:tc>
        <w:tc>
          <w:tcPr>
            <w:tcW w:w="1550" w:type="pct"/>
            <w:tcBorders>
              <w:top w:val="nil"/>
              <w:left w:val="nil"/>
              <w:bottom w:val="nil"/>
              <w:right w:val="nil"/>
            </w:tcBorders>
            <w:shd w:val="clear" w:color="auto" w:fill="D9D9D9" w:themeFill="background1" w:themeFillShade="D9"/>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c>
          <w:tcPr>
            <w:tcW w:w="1549" w:type="pct"/>
            <w:tcBorders>
              <w:top w:val="nil"/>
              <w:left w:val="nil"/>
              <w:bottom w:val="nil"/>
              <w:right w:val="nil"/>
            </w:tcBorders>
            <w:shd w:val="clear" w:color="auto" w:fill="D9D9D9" w:themeFill="background1" w:themeFillShade="D9"/>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auto"/>
            <w:noWrap/>
            <w:vAlign w:val="center"/>
            <w:hideMark/>
          </w:tcPr>
          <w:p w:rsidR="00F33684" w:rsidRDefault="00E32BE3">
            <w:pPr>
              <w:tabs>
                <w:tab w:val="left" w:pos="1880"/>
              </w:tabs>
              <w:spacing w:before="40" w:after="40"/>
              <w:rPr>
                <w:rFonts w:cs="Times New Roman"/>
                <w:szCs w:val="22"/>
              </w:rPr>
            </w:pPr>
            <w:r>
              <w:rPr>
                <w:rFonts w:cs="Times New Roman"/>
                <w:b w:val="0"/>
                <w:szCs w:val="22"/>
              </w:rPr>
              <w:tab/>
              <w:t>6</w:t>
            </w:r>
          </w:p>
        </w:tc>
        <w:tc>
          <w:tcPr>
            <w:tcW w:w="1550" w:type="pct"/>
            <w:tcBorders>
              <w:top w:val="nil"/>
              <w:left w:val="nil"/>
              <w:bottom w:val="nil"/>
              <w:right w:val="nil"/>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c>
          <w:tcPr>
            <w:tcW w:w="1549" w:type="pct"/>
            <w:tcBorders>
              <w:top w:val="nil"/>
              <w:left w:val="nil"/>
              <w:bottom w:val="nil"/>
              <w:right w:val="nil"/>
            </w:tcBorders>
            <w:shd w:val="clear" w:color="auto" w:fill="auto"/>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r>
      <w:tr w:rsidR="00C440C6" w:rsidTr="00C440C6">
        <w:trPr>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D9D9D9" w:themeFill="background1" w:themeFillShade="D9"/>
            <w:noWrap/>
            <w:vAlign w:val="center"/>
          </w:tcPr>
          <w:p w:rsidR="00F33684" w:rsidRDefault="00E32BE3">
            <w:pPr>
              <w:tabs>
                <w:tab w:val="left" w:pos="1880"/>
              </w:tabs>
              <w:spacing w:before="40" w:after="40"/>
              <w:rPr>
                <w:rFonts w:cs="Times New Roman"/>
                <w:szCs w:val="22"/>
              </w:rPr>
            </w:pPr>
            <w:r>
              <w:rPr>
                <w:rFonts w:cs="Times New Roman"/>
                <w:b w:val="0"/>
                <w:szCs w:val="22"/>
              </w:rPr>
              <w:tab/>
              <w:t>6.5</w:t>
            </w:r>
          </w:p>
        </w:tc>
        <w:tc>
          <w:tcPr>
            <w:tcW w:w="1550" w:type="pct"/>
            <w:tcBorders>
              <w:top w:val="nil"/>
              <w:left w:val="nil"/>
              <w:bottom w:val="nil"/>
              <w:right w:val="nil"/>
            </w:tcBorders>
            <w:shd w:val="clear" w:color="auto" w:fill="D9D9D9" w:themeFill="background1" w:themeFillShade="D9"/>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c>
          <w:tcPr>
            <w:tcW w:w="1549" w:type="pct"/>
            <w:tcBorders>
              <w:top w:val="nil"/>
              <w:left w:val="nil"/>
              <w:bottom w:val="nil"/>
              <w:right w:val="nil"/>
            </w:tcBorders>
            <w:shd w:val="clear" w:color="auto" w:fill="D9D9D9" w:themeFill="background1" w:themeFillShade="D9"/>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auto"/>
            <w:noWrap/>
            <w:vAlign w:val="center"/>
            <w:hideMark/>
          </w:tcPr>
          <w:p w:rsidR="00F33684" w:rsidRDefault="00E32BE3">
            <w:pPr>
              <w:tabs>
                <w:tab w:val="left" w:pos="1880"/>
              </w:tabs>
              <w:spacing w:before="40" w:after="40"/>
              <w:rPr>
                <w:rFonts w:cs="Times New Roman"/>
                <w:szCs w:val="22"/>
              </w:rPr>
            </w:pPr>
            <w:r>
              <w:rPr>
                <w:rFonts w:cs="Times New Roman"/>
                <w:b w:val="0"/>
                <w:szCs w:val="22"/>
              </w:rPr>
              <w:tab/>
              <w:t>7</w:t>
            </w:r>
          </w:p>
        </w:tc>
        <w:tc>
          <w:tcPr>
            <w:tcW w:w="1550" w:type="pct"/>
            <w:tcBorders>
              <w:top w:val="nil"/>
              <w:left w:val="nil"/>
              <w:bottom w:val="nil"/>
              <w:right w:val="nil"/>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c>
          <w:tcPr>
            <w:tcW w:w="1549" w:type="pct"/>
            <w:tcBorders>
              <w:top w:val="nil"/>
              <w:left w:val="nil"/>
              <w:bottom w:val="nil"/>
              <w:right w:val="nil"/>
            </w:tcBorders>
            <w:shd w:val="clear" w:color="auto" w:fill="auto"/>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r>
      <w:tr w:rsidR="00C440C6" w:rsidTr="00C440C6">
        <w:trPr>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D9D9D9" w:themeFill="background1" w:themeFillShade="D9"/>
            <w:noWrap/>
            <w:vAlign w:val="center"/>
          </w:tcPr>
          <w:p w:rsidR="00F33684" w:rsidRDefault="00E32BE3">
            <w:pPr>
              <w:tabs>
                <w:tab w:val="left" w:pos="1880"/>
              </w:tabs>
              <w:spacing w:before="40" w:after="40"/>
              <w:rPr>
                <w:rFonts w:cs="Times New Roman"/>
                <w:szCs w:val="22"/>
              </w:rPr>
            </w:pPr>
            <w:r>
              <w:rPr>
                <w:rFonts w:cs="Times New Roman"/>
                <w:b w:val="0"/>
                <w:szCs w:val="22"/>
              </w:rPr>
              <w:tab/>
              <w:t>7.5</w:t>
            </w:r>
          </w:p>
        </w:tc>
        <w:tc>
          <w:tcPr>
            <w:tcW w:w="1550" w:type="pct"/>
            <w:tcBorders>
              <w:top w:val="nil"/>
              <w:left w:val="nil"/>
              <w:bottom w:val="nil"/>
              <w:right w:val="nil"/>
            </w:tcBorders>
            <w:shd w:val="clear" w:color="auto" w:fill="D9D9D9" w:themeFill="background1" w:themeFillShade="D9"/>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c>
          <w:tcPr>
            <w:tcW w:w="1549" w:type="pct"/>
            <w:tcBorders>
              <w:top w:val="nil"/>
              <w:left w:val="nil"/>
              <w:bottom w:val="nil"/>
              <w:right w:val="nil"/>
            </w:tcBorders>
            <w:shd w:val="clear" w:color="auto" w:fill="D9D9D9" w:themeFill="background1" w:themeFillShade="D9"/>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auto"/>
            <w:noWrap/>
            <w:vAlign w:val="center"/>
            <w:hideMark/>
          </w:tcPr>
          <w:p w:rsidR="00F33684" w:rsidRDefault="00E32BE3">
            <w:pPr>
              <w:tabs>
                <w:tab w:val="left" w:pos="1880"/>
              </w:tabs>
              <w:spacing w:before="40" w:after="40"/>
              <w:rPr>
                <w:rFonts w:cs="Times New Roman"/>
                <w:szCs w:val="22"/>
              </w:rPr>
            </w:pPr>
            <w:r>
              <w:rPr>
                <w:rFonts w:cs="Times New Roman"/>
                <w:b w:val="0"/>
                <w:szCs w:val="22"/>
              </w:rPr>
              <w:tab/>
              <w:t>8</w:t>
            </w:r>
          </w:p>
        </w:tc>
        <w:tc>
          <w:tcPr>
            <w:tcW w:w="1550" w:type="pct"/>
            <w:tcBorders>
              <w:top w:val="nil"/>
              <w:left w:val="nil"/>
              <w:bottom w:val="nil"/>
              <w:right w:val="nil"/>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c>
          <w:tcPr>
            <w:tcW w:w="1549" w:type="pct"/>
            <w:tcBorders>
              <w:top w:val="nil"/>
              <w:left w:val="nil"/>
              <w:bottom w:val="nil"/>
              <w:right w:val="nil"/>
            </w:tcBorders>
            <w:shd w:val="clear" w:color="auto" w:fill="auto"/>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r>
      <w:tr w:rsidR="00C440C6" w:rsidTr="00C440C6">
        <w:trPr>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D9D9D9" w:themeFill="background1" w:themeFillShade="D9"/>
            <w:noWrap/>
            <w:vAlign w:val="center"/>
          </w:tcPr>
          <w:p w:rsidR="00F33684" w:rsidRDefault="00E32BE3">
            <w:pPr>
              <w:tabs>
                <w:tab w:val="left" w:pos="1880"/>
              </w:tabs>
              <w:spacing w:before="40" w:after="40"/>
              <w:rPr>
                <w:rFonts w:cs="Times New Roman"/>
                <w:szCs w:val="22"/>
              </w:rPr>
            </w:pPr>
            <w:r>
              <w:rPr>
                <w:rFonts w:cs="Times New Roman"/>
                <w:b w:val="0"/>
                <w:szCs w:val="22"/>
              </w:rPr>
              <w:tab/>
              <w:t>8.5</w:t>
            </w:r>
          </w:p>
        </w:tc>
        <w:tc>
          <w:tcPr>
            <w:tcW w:w="1550" w:type="pct"/>
            <w:tcBorders>
              <w:top w:val="nil"/>
              <w:left w:val="nil"/>
              <w:bottom w:val="nil"/>
              <w:right w:val="nil"/>
            </w:tcBorders>
            <w:shd w:val="clear" w:color="auto" w:fill="D9D9D9" w:themeFill="background1" w:themeFillShade="D9"/>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c>
          <w:tcPr>
            <w:tcW w:w="1549" w:type="pct"/>
            <w:tcBorders>
              <w:top w:val="nil"/>
              <w:left w:val="nil"/>
              <w:bottom w:val="nil"/>
              <w:right w:val="nil"/>
            </w:tcBorders>
            <w:shd w:val="clear" w:color="auto" w:fill="D9D9D9" w:themeFill="background1" w:themeFillShade="D9"/>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auto"/>
            <w:noWrap/>
            <w:vAlign w:val="center"/>
            <w:hideMark/>
          </w:tcPr>
          <w:p w:rsidR="00F33684" w:rsidRDefault="00E32BE3">
            <w:pPr>
              <w:tabs>
                <w:tab w:val="left" w:pos="1880"/>
              </w:tabs>
              <w:spacing w:before="40" w:after="40"/>
              <w:rPr>
                <w:rFonts w:cs="Times New Roman"/>
                <w:szCs w:val="22"/>
              </w:rPr>
            </w:pPr>
            <w:r>
              <w:rPr>
                <w:rFonts w:cs="Times New Roman"/>
                <w:b w:val="0"/>
                <w:szCs w:val="22"/>
              </w:rPr>
              <w:tab/>
              <w:t>9</w:t>
            </w:r>
          </w:p>
        </w:tc>
        <w:tc>
          <w:tcPr>
            <w:tcW w:w="1550" w:type="pct"/>
            <w:tcBorders>
              <w:top w:val="nil"/>
              <w:left w:val="nil"/>
              <w:bottom w:val="nil"/>
              <w:right w:val="nil"/>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c>
          <w:tcPr>
            <w:tcW w:w="1549" w:type="pct"/>
            <w:tcBorders>
              <w:top w:val="nil"/>
              <w:left w:val="nil"/>
              <w:bottom w:val="nil"/>
              <w:right w:val="nil"/>
            </w:tcBorders>
            <w:shd w:val="clear" w:color="auto" w:fill="auto"/>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r>
      <w:tr w:rsidR="00C440C6" w:rsidTr="00C440C6">
        <w:trPr>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D9D9D9" w:themeFill="background1" w:themeFillShade="D9"/>
            <w:noWrap/>
            <w:vAlign w:val="center"/>
          </w:tcPr>
          <w:p w:rsidR="00F33684" w:rsidRDefault="00E32BE3">
            <w:pPr>
              <w:tabs>
                <w:tab w:val="left" w:pos="1880"/>
              </w:tabs>
              <w:spacing w:before="40" w:after="40"/>
              <w:rPr>
                <w:rFonts w:cs="Times New Roman"/>
                <w:szCs w:val="22"/>
              </w:rPr>
            </w:pPr>
            <w:r>
              <w:rPr>
                <w:rFonts w:cs="Times New Roman"/>
                <w:b w:val="0"/>
                <w:szCs w:val="22"/>
              </w:rPr>
              <w:tab/>
              <w:t>9.5</w:t>
            </w:r>
          </w:p>
        </w:tc>
        <w:tc>
          <w:tcPr>
            <w:tcW w:w="1550" w:type="pct"/>
            <w:tcBorders>
              <w:top w:val="nil"/>
              <w:left w:val="nil"/>
              <w:bottom w:val="nil"/>
              <w:right w:val="nil"/>
            </w:tcBorders>
            <w:shd w:val="clear" w:color="auto" w:fill="D9D9D9" w:themeFill="background1" w:themeFillShade="D9"/>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c>
          <w:tcPr>
            <w:tcW w:w="1549" w:type="pct"/>
            <w:tcBorders>
              <w:top w:val="nil"/>
              <w:left w:val="nil"/>
              <w:bottom w:val="nil"/>
              <w:right w:val="nil"/>
            </w:tcBorders>
            <w:shd w:val="clear" w:color="auto" w:fill="D9D9D9" w:themeFill="background1" w:themeFillShade="D9"/>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auto"/>
            <w:noWrap/>
            <w:vAlign w:val="center"/>
          </w:tcPr>
          <w:p w:rsidR="00F33684" w:rsidRDefault="00E32BE3">
            <w:pPr>
              <w:tabs>
                <w:tab w:val="left" w:pos="1880"/>
              </w:tabs>
              <w:spacing w:before="40" w:after="40"/>
              <w:rPr>
                <w:rFonts w:cs="Times New Roman"/>
                <w:szCs w:val="22"/>
              </w:rPr>
            </w:pPr>
            <w:r>
              <w:rPr>
                <w:rFonts w:cs="Times New Roman"/>
                <w:b w:val="0"/>
                <w:szCs w:val="22"/>
              </w:rPr>
              <w:tab/>
              <w:t>10</w:t>
            </w:r>
          </w:p>
        </w:tc>
        <w:tc>
          <w:tcPr>
            <w:tcW w:w="1550" w:type="pct"/>
            <w:tcBorders>
              <w:top w:val="nil"/>
              <w:left w:val="nil"/>
              <w:bottom w:val="nil"/>
              <w:right w:val="nil"/>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c>
          <w:tcPr>
            <w:tcW w:w="1549" w:type="pct"/>
            <w:tcBorders>
              <w:top w:val="nil"/>
              <w:left w:val="nil"/>
              <w:bottom w:val="nil"/>
              <w:right w:val="nil"/>
            </w:tcBorders>
            <w:shd w:val="clear" w:color="auto" w:fill="auto"/>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r>
      <w:tr w:rsidR="00C440C6" w:rsidTr="00C440C6">
        <w:trPr>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D9D9D9" w:themeFill="background1" w:themeFillShade="D9"/>
            <w:noWrap/>
            <w:vAlign w:val="center"/>
          </w:tcPr>
          <w:p w:rsidR="00F33684" w:rsidRDefault="00E32BE3">
            <w:pPr>
              <w:tabs>
                <w:tab w:val="left" w:pos="1880"/>
              </w:tabs>
              <w:spacing w:before="40" w:after="40"/>
              <w:rPr>
                <w:rFonts w:cs="Times New Roman"/>
                <w:szCs w:val="22"/>
              </w:rPr>
            </w:pPr>
            <w:r>
              <w:rPr>
                <w:rFonts w:cs="Times New Roman"/>
                <w:b w:val="0"/>
                <w:szCs w:val="22"/>
              </w:rPr>
              <w:tab/>
              <w:t>10.5</w:t>
            </w:r>
          </w:p>
        </w:tc>
        <w:tc>
          <w:tcPr>
            <w:tcW w:w="1550" w:type="pct"/>
            <w:tcBorders>
              <w:top w:val="nil"/>
              <w:left w:val="nil"/>
              <w:bottom w:val="nil"/>
              <w:right w:val="nil"/>
            </w:tcBorders>
            <w:shd w:val="clear" w:color="auto" w:fill="D9D9D9" w:themeFill="background1" w:themeFillShade="D9"/>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c>
          <w:tcPr>
            <w:tcW w:w="1549" w:type="pct"/>
            <w:tcBorders>
              <w:top w:val="nil"/>
              <w:left w:val="nil"/>
              <w:bottom w:val="nil"/>
              <w:right w:val="nil"/>
            </w:tcBorders>
            <w:shd w:val="clear" w:color="auto" w:fill="D9D9D9" w:themeFill="background1" w:themeFillShade="D9"/>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auto"/>
            <w:noWrap/>
            <w:vAlign w:val="center"/>
          </w:tcPr>
          <w:p w:rsidR="00F33684" w:rsidRDefault="00E32BE3">
            <w:pPr>
              <w:tabs>
                <w:tab w:val="left" w:pos="1880"/>
              </w:tabs>
              <w:spacing w:before="40" w:after="40"/>
              <w:rPr>
                <w:rFonts w:cs="Times New Roman"/>
                <w:szCs w:val="22"/>
              </w:rPr>
            </w:pPr>
            <w:r>
              <w:rPr>
                <w:rFonts w:cs="Times New Roman"/>
                <w:b w:val="0"/>
                <w:szCs w:val="22"/>
              </w:rPr>
              <w:tab/>
              <w:t>11</w:t>
            </w:r>
          </w:p>
        </w:tc>
        <w:tc>
          <w:tcPr>
            <w:tcW w:w="1550" w:type="pct"/>
            <w:tcBorders>
              <w:top w:val="nil"/>
              <w:left w:val="nil"/>
              <w:bottom w:val="nil"/>
              <w:right w:val="nil"/>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c>
          <w:tcPr>
            <w:tcW w:w="1549" w:type="pct"/>
            <w:tcBorders>
              <w:top w:val="nil"/>
              <w:left w:val="nil"/>
              <w:bottom w:val="nil"/>
              <w:right w:val="nil"/>
            </w:tcBorders>
            <w:shd w:val="clear" w:color="auto" w:fill="auto"/>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r>
      <w:tr w:rsidR="00C440C6" w:rsidTr="00C440C6">
        <w:trPr>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single" w:sz="2" w:space="0" w:color="FFFFFF"/>
            </w:tcBorders>
            <w:shd w:val="clear" w:color="auto" w:fill="D9D9D9" w:themeFill="background1" w:themeFillShade="D9"/>
            <w:noWrap/>
            <w:vAlign w:val="center"/>
            <w:hideMark/>
          </w:tcPr>
          <w:p w:rsidR="00F33684" w:rsidRDefault="00E32BE3">
            <w:pPr>
              <w:tabs>
                <w:tab w:val="left" w:pos="1880"/>
              </w:tabs>
              <w:spacing w:before="40" w:after="40"/>
              <w:rPr>
                <w:rFonts w:cs="Times New Roman"/>
                <w:szCs w:val="22"/>
              </w:rPr>
            </w:pPr>
            <w:r>
              <w:rPr>
                <w:rFonts w:cs="Times New Roman"/>
                <w:b w:val="0"/>
                <w:szCs w:val="22"/>
              </w:rPr>
              <w:tab/>
              <w:t>11.5</w:t>
            </w:r>
          </w:p>
        </w:tc>
        <w:tc>
          <w:tcPr>
            <w:tcW w:w="1550" w:type="pct"/>
            <w:tcBorders>
              <w:top w:val="nil"/>
              <w:left w:val="single" w:sz="2" w:space="0" w:color="FFFFFF"/>
              <w:bottom w:val="nil"/>
              <w:right w:val="single" w:sz="2" w:space="0" w:color="FFFFFF"/>
            </w:tcBorders>
            <w:shd w:val="clear" w:color="auto" w:fill="D9D9D9" w:themeFill="background1" w:themeFillShade="D9"/>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c>
          <w:tcPr>
            <w:tcW w:w="1549" w:type="pct"/>
            <w:tcBorders>
              <w:top w:val="nil"/>
              <w:left w:val="single" w:sz="2" w:space="0" w:color="FFFFFF"/>
              <w:bottom w:val="nil"/>
              <w:right w:val="nil"/>
            </w:tcBorders>
            <w:shd w:val="clear" w:color="auto" w:fill="D9D9D9" w:themeFill="background1" w:themeFillShade="D9"/>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1" w:type="pct"/>
            <w:tcBorders>
              <w:top w:val="nil"/>
              <w:left w:val="nil"/>
              <w:bottom w:val="nil"/>
              <w:right w:val="nil"/>
            </w:tcBorders>
            <w:shd w:val="clear" w:color="auto" w:fill="auto"/>
            <w:noWrap/>
            <w:vAlign w:val="center"/>
          </w:tcPr>
          <w:p w:rsidR="00F33684" w:rsidRDefault="00E32BE3">
            <w:pPr>
              <w:tabs>
                <w:tab w:val="left" w:pos="1880"/>
              </w:tabs>
              <w:spacing w:before="40" w:after="40"/>
              <w:rPr>
                <w:rFonts w:cs="Times New Roman"/>
                <w:szCs w:val="22"/>
              </w:rPr>
            </w:pPr>
            <w:r>
              <w:rPr>
                <w:rFonts w:cs="Times New Roman"/>
                <w:b w:val="0"/>
                <w:szCs w:val="22"/>
              </w:rPr>
              <w:tab/>
              <w:t>NA</w:t>
            </w:r>
          </w:p>
        </w:tc>
        <w:tc>
          <w:tcPr>
            <w:tcW w:w="1550" w:type="pct"/>
            <w:tcBorders>
              <w:top w:val="nil"/>
              <w:left w:val="nil"/>
              <w:bottom w:val="nil"/>
              <w:right w:val="nil"/>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c>
          <w:tcPr>
            <w:tcW w:w="1549" w:type="pct"/>
            <w:tcBorders>
              <w:top w:val="nil"/>
              <w:left w:val="nil"/>
              <w:bottom w:val="nil"/>
              <w:right w:val="nil"/>
            </w:tcBorders>
            <w:shd w:val="clear" w:color="auto" w:fill="auto"/>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p>
        </w:tc>
      </w:tr>
    </w:tbl>
    <w:p w:rsidR="00F33684" w:rsidRDefault="00E32BE3">
      <w:pPr>
        <w:pStyle w:val="ESBodyText"/>
        <w:tabs>
          <w:tab w:val="left" w:pos="9794"/>
        </w:tabs>
      </w:pPr>
      <w:r>
        <w:tab/>
      </w:r>
    </w:p>
    <w:p w:rsidR="00166A02" w:rsidRDefault="00E32BE3">
      <w:pPr>
        <w:rPr>
          <w:rFonts w:eastAsiaTheme="majorEastAsia" w:cstheme="majorBidi"/>
          <w:b/>
          <w:bCs/>
          <w:caps/>
          <w:color w:val="00008B"/>
          <w:sz w:val="20"/>
          <w:szCs w:val="20"/>
          <w:u w:val="single"/>
        </w:rPr>
      </w:pPr>
      <w:r>
        <w:rPr>
          <w:color w:val="00008B"/>
          <w:u w:val="single"/>
        </w:rPr>
        <w:br w:type="page"/>
      </w:r>
    </w:p>
    <w:p w:rsidR="00166A02" w:rsidRDefault="00E32BE3">
      <w:pPr>
        <w:pStyle w:val="ESHeading2"/>
        <w:spacing w:before="0"/>
        <w:rPr>
          <w:color w:val="00008B"/>
          <w:u w:val="single"/>
        </w:rPr>
      </w:pPr>
    </w:p>
    <w:p w:rsidR="00F33684" w:rsidRDefault="00E32BE3">
      <w:pPr>
        <w:pStyle w:val="ESHeading2"/>
        <w:spacing w:before="0"/>
        <w:rPr>
          <w:color w:val="00008B"/>
          <w:u w:val="single"/>
        </w:rPr>
      </w:pPr>
      <w:r>
        <w:rPr>
          <w:color w:val="00008B"/>
          <w:u w:val="single"/>
        </w:rPr>
        <w:t>engagement</w:t>
      </w:r>
    </w:p>
    <w:p w:rsidR="00F33684" w:rsidRDefault="00E32BE3">
      <w:pPr>
        <w:pStyle w:val="ESBodyText"/>
        <w:rPr>
          <w:rFonts w:eastAsiaTheme="majorEastAsia" w:cstheme="majorBidi"/>
          <w:b/>
          <w:bCs/>
          <w:color w:val="00008B"/>
          <w:szCs w:val="20"/>
        </w:rPr>
      </w:pPr>
      <w:r>
        <w:rPr>
          <w:rFonts w:eastAsiaTheme="majorEastAsia" w:cstheme="majorBidi"/>
          <w:b/>
          <w:bCs/>
          <w:color w:val="00008B"/>
          <w:szCs w:val="20"/>
        </w:rPr>
        <w:t>Average Number of Student Absence Days</w:t>
      </w:r>
    </w:p>
    <w:p w:rsidR="00F33684" w:rsidRDefault="00E32BE3">
      <w:pPr>
        <w:pStyle w:val="ESBodyText"/>
      </w:pPr>
      <w:r>
        <w:rPr>
          <w:rFonts w:eastAsiaTheme="majorEastAsia" w:cstheme="majorBidi"/>
          <w:bCs/>
          <w:szCs w:val="20"/>
        </w:rPr>
        <w:t xml:space="preserve">Absence from school can </w:t>
      </w:r>
      <w:r>
        <w:rPr>
          <w:rFonts w:eastAsiaTheme="majorEastAsia" w:cstheme="majorBidi"/>
          <w:bCs/>
          <w:szCs w:val="20"/>
        </w:rPr>
        <w:t>impact on students’ learning.</w:t>
      </w:r>
      <w:r>
        <w:t xml:space="preserve"> </w:t>
      </w:r>
    </w:p>
    <w:p w:rsidR="00F33684" w:rsidRDefault="00E32BE3">
      <w:pPr>
        <w:pStyle w:val="ESBodyText"/>
        <w:spacing w:after="240"/>
        <w:rPr>
          <w:rFonts w:eastAsiaTheme="majorEastAsia" w:cstheme="majorBidi"/>
          <w:bCs/>
          <w:szCs w:val="20"/>
        </w:rPr>
      </w:pPr>
      <w:r>
        <w:rPr>
          <w:rFonts w:eastAsiaTheme="majorEastAsia" w:cstheme="majorBidi"/>
          <w:bCs/>
          <w:szCs w:val="20"/>
        </w:rPr>
        <w:t>Common reasons for non-attendance include illness and extended family holidays.</w:t>
      </w:r>
    </w:p>
    <w:tbl>
      <w:tblPr>
        <w:tblStyle w:val="GridTable2-Accent61"/>
        <w:tblW w:w="4788" w:type="pct"/>
        <w:jc w:val="center"/>
        <w:tblLook w:val="04A0" w:firstRow="1" w:lastRow="0" w:firstColumn="1" w:lastColumn="0" w:noHBand="0" w:noVBand="1"/>
        <w:tblCaption w:val="Average number of student absence days"/>
      </w:tblPr>
      <w:tblGrid>
        <w:gridCol w:w="5018"/>
        <w:gridCol w:w="1058"/>
        <w:gridCol w:w="1058"/>
        <w:gridCol w:w="1060"/>
        <w:gridCol w:w="1058"/>
        <w:gridCol w:w="1058"/>
      </w:tblGrid>
      <w:tr w:rsidR="00C440C6" w:rsidTr="00C440C6">
        <w:trPr>
          <w:cnfStyle w:val="100000000000" w:firstRow="1" w:lastRow="0" w:firstColumn="0" w:lastColumn="0" w:oddVBand="0" w:evenVBand="0" w:oddHBand="0" w:evenHBand="0" w:firstRowFirstColumn="0" w:firstRowLastColumn="0" w:lastRowFirstColumn="0" w:lastRowLastColumn="0"/>
          <w:trHeight w:val="522"/>
          <w:tblHeader/>
          <w:jc w:val="center"/>
        </w:trPr>
        <w:tc>
          <w:tcPr>
            <w:cnfStyle w:val="001000000000" w:firstRow="0" w:lastRow="0" w:firstColumn="1" w:lastColumn="0" w:oddVBand="0" w:evenVBand="0" w:oddHBand="0" w:evenHBand="0" w:firstRowFirstColumn="0" w:firstRowLastColumn="0" w:lastRowFirstColumn="0" w:lastRowLastColumn="0"/>
            <w:tcW w:w="2434" w:type="pct"/>
            <w:tcBorders>
              <w:bottom w:val="nil"/>
            </w:tcBorders>
            <w:shd w:val="clear" w:color="auto" w:fill="106CB5"/>
            <w:vAlign w:val="center"/>
            <w:hideMark/>
          </w:tcPr>
          <w:p w:rsidR="00F33684" w:rsidRDefault="00E32BE3">
            <w:pPr>
              <w:rPr>
                <w:rFonts w:cs="Times New Roman"/>
                <w:color w:val="FFFFFF"/>
                <w:szCs w:val="22"/>
              </w:rPr>
            </w:pPr>
            <w:r>
              <w:rPr>
                <w:rFonts w:cs="Times New Roman"/>
                <w:color w:val="FFFFFF"/>
                <w:szCs w:val="22"/>
              </w:rPr>
              <w:t>Student Absence</w:t>
            </w:r>
          </w:p>
        </w:tc>
        <w:tc>
          <w:tcPr>
            <w:tcW w:w="513" w:type="pct"/>
            <w:tcBorders>
              <w:bottom w:val="nil"/>
            </w:tcBorders>
            <w:shd w:val="clear" w:color="auto" w:fill="106CB5"/>
            <w:vAlign w:val="center"/>
          </w:tcPr>
          <w:p w:rsidR="00F33684" w:rsidRDefault="00E32BE3" w:rsidP="00842388">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Cs w:val="22"/>
              </w:rPr>
            </w:pPr>
            <w:r>
              <w:rPr>
                <w:rFonts w:cs="Times New Roman"/>
                <w:color w:val="FFFFFF" w:themeColor="background1"/>
                <w:szCs w:val="22"/>
              </w:rPr>
              <w:t>201</w:t>
            </w:r>
            <w:r>
              <w:rPr>
                <w:rFonts w:cs="Times New Roman"/>
                <w:color w:val="FFFFFF" w:themeColor="background1"/>
                <w:szCs w:val="22"/>
              </w:rPr>
              <w:t>6</w:t>
            </w:r>
          </w:p>
        </w:tc>
        <w:tc>
          <w:tcPr>
            <w:tcW w:w="513" w:type="pct"/>
            <w:tcBorders>
              <w:bottom w:val="nil"/>
            </w:tcBorders>
            <w:shd w:val="clear" w:color="auto" w:fill="106CB5"/>
            <w:vAlign w:val="center"/>
          </w:tcPr>
          <w:p w:rsidR="00F33684" w:rsidRDefault="00E32BE3" w:rsidP="00842388">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Cs w:val="22"/>
              </w:rPr>
            </w:pPr>
            <w:r>
              <w:rPr>
                <w:rFonts w:cs="Times New Roman"/>
                <w:color w:val="FFFFFF" w:themeColor="background1"/>
                <w:szCs w:val="22"/>
              </w:rPr>
              <w:t>201</w:t>
            </w:r>
            <w:r>
              <w:rPr>
                <w:rFonts w:cs="Times New Roman"/>
                <w:color w:val="FFFFFF" w:themeColor="background1"/>
                <w:szCs w:val="22"/>
              </w:rPr>
              <w:t>7</w:t>
            </w:r>
          </w:p>
        </w:tc>
        <w:tc>
          <w:tcPr>
            <w:tcW w:w="514" w:type="pct"/>
            <w:tcBorders>
              <w:bottom w:val="nil"/>
            </w:tcBorders>
            <w:shd w:val="clear" w:color="auto" w:fill="106CB5"/>
            <w:vAlign w:val="center"/>
          </w:tcPr>
          <w:p w:rsidR="00F33684" w:rsidRDefault="00E32BE3" w:rsidP="00842388">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Cs w:val="22"/>
              </w:rPr>
            </w:pPr>
            <w:r>
              <w:rPr>
                <w:rFonts w:cs="Times New Roman"/>
                <w:color w:val="FFFFFF" w:themeColor="background1"/>
                <w:szCs w:val="22"/>
              </w:rPr>
              <w:t>201</w:t>
            </w:r>
            <w:r>
              <w:rPr>
                <w:rFonts w:cs="Times New Roman"/>
                <w:color w:val="FFFFFF" w:themeColor="background1"/>
                <w:szCs w:val="22"/>
              </w:rPr>
              <w:t>8</w:t>
            </w:r>
          </w:p>
        </w:tc>
        <w:tc>
          <w:tcPr>
            <w:tcW w:w="513" w:type="pct"/>
            <w:tcBorders>
              <w:bottom w:val="nil"/>
            </w:tcBorders>
            <w:shd w:val="clear" w:color="auto" w:fill="106CB5"/>
            <w:vAlign w:val="center"/>
          </w:tcPr>
          <w:p w:rsidR="00F33684" w:rsidRDefault="00E32BE3" w:rsidP="00842388">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Cs w:val="22"/>
              </w:rPr>
            </w:pPr>
            <w:r>
              <w:rPr>
                <w:rFonts w:cs="Times New Roman"/>
                <w:color w:val="FFFFFF" w:themeColor="background1"/>
                <w:szCs w:val="22"/>
              </w:rPr>
              <w:t>201</w:t>
            </w:r>
            <w:r>
              <w:rPr>
                <w:rFonts w:cs="Times New Roman"/>
                <w:color w:val="FFFFFF" w:themeColor="background1"/>
                <w:szCs w:val="22"/>
              </w:rPr>
              <w:t>9</w:t>
            </w:r>
          </w:p>
        </w:tc>
        <w:tc>
          <w:tcPr>
            <w:tcW w:w="513" w:type="pct"/>
            <w:tcBorders>
              <w:bottom w:val="nil"/>
            </w:tcBorders>
            <w:shd w:val="clear" w:color="auto" w:fill="106CB5"/>
            <w:vAlign w:val="center"/>
          </w:tcPr>
          <w:p w:rsidR="00F33684" w:rsidRDefault="00E32BE3">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Cs w:val="22"/>
              </w:rPr>
            </w:pPr>
            <w:r>
              <w:rPr>
                <w:rFonts w:cs="Times New Roman"/>
                <w:color w:val="FFFFFF" w:themeColor="background1"/>
                <w:szCs w:val="22"/>
              </w:rPr>
              <w:t>4 year average</w:t>
            </w: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4" w:type="pct"/>
            <w:tcBorders>
              <w:top w:val="nil"/>
              <w:bottom w:val="single" w:sz="12" w:space="0" w:color="106CB5"/>
            </w:tcBorders>
            <w:shd w:val="clear" w:color="auto" w:fill="auto"/>
            <w:noWrap/>
            <w:vAlign w:val="center"/>
          </w:tcPr>
          <w:p w:rsidR="00F33684" w:rsidRDefault="00E32BE3">
            <w:pPr>
              <w:spacing w:before="40" w:after="40"/>
              <w:rPr>
                <w:rFonts w:cs="Times New Roman"/>
                <w:szCs w:val="22"/>
              </w:rPr>
            </w:pPr>
            <w:r>
              <w:rPr>
                <w:rFonts w:cs="Times New Roman"/>
                <w:szCs w:val="22"/>
              </w:rPr>
              <w:t>Average number of absence days</w:t>
            </w:r>
          </w:p>
        </w:tc>
        <w:tc>
          <w:tcPr>
            <w:tcW w:w="513" w:type="pct"/>
            <w:tcBorders>
              <w:top w:val="nil"/>
              <w:bottom w:val="single" w:sz="12" w:space="0" w:color="106CB5"/>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27.3</w:t>
            </w:r>
          </w:p>
        </w:tc>
        <w:tc>
          <w:tcPr>
            <w:tcW w:w="513" w:type="pct"/>
            <w:tcBorders>
              <w:top w:val="nil"/>
              <w:bottom w:val="single" w:sz="12" w:space="0" w:color="106CB5"/>
            </w:tcBorders>
            <w:shd w:val="clear" w:color="auto" w:fill="auto"/>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25.0</w:t>
            </w:r>
          </w:p>
        </w:tc>
        <w:tc>
          <w:tcPr>
            <w:tcW w:w="514" w:type="pct"/>
            <w:tcBorders>
              <w:top w:val="nil"/>
              <w:bottom w:val="single" w:sz="12" w:space="0" w:color="106CB5"/>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16.1</w:t>
            </w:r>
          </w:p>
        </w:tc>
        <w:tc>
          <w:tcPr>
            <w:tcW w:w="513" w:type="pct"/>
            <w:tcBorders>
              <w:top w:val="nil"/>
              <w:bottom w:val="single" w:sz="12" w:space="0" w:color="106CB5"/>
            </w:tcBorders>
            <w:shd w:val="clear" w:color="auto" w:fill="auto"/>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17.9</w:t>
            </w:r>
          </w:p>
        </w:tc>
        <w:tc>
          <w:tcPr>
            <w:tcW w:w="513" w:type="pct"/>
            <w:tcBorders>
              <w:top w:val="nil"/>
              <w:bottom w:val="single" w:sz="12" w:space="0" w:color="106CB5"/>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21.6</w:t>
            </w:r>
          </w:p>
        </w:tc>
      </w:tr>
    </w:tbl>
    <w:p w:rsidR="00F33684" w:rsidRDefault="00E32BE3">
      <w:pPr>
        <w:pStyle w:val="ESBodyText"/>
        <w:rPr>
          <w:rFonts w:eastAsiaTheme="majorEastAsia" w:cstheme="majorBidi"/>
          <w:bCs/>
          <w:szCs w:val="20"/>
        </w:rPr>
      </w:pPr>
    </w:p>
    <w:p w:rsidR="00F33684" w:rsidRDefault="00E32BE3">
      <w:pPr>
        <w:pStyle w:val="ESBodyText"/>
        <w:rPr>
          <w:rFonts w:eastAsiaTheme="majorEastAsia" w:cstheme="majorBidi"/>
          <w:b/>
          <w:bCs/>
          <w:color w:val="00008B"/>
          <w:szCs w:val="20"/>
        </w:rPr>
      </w:pPr>
      <w:r>
        <w:rPr>
          <w:rFonts w:eastAsiaTheme="majorEastAsia" w:cstheme="majorBidi"/>
          <w:b/>
          <w:bCs/>
          <w:color w:val="00008B"/>
          <w:szCs w:val="20"/>
        </w:rPr>
        <w:t>Students exiting to further studies</w:t>
      </w:r>
      <w:r>
        <w:rPr>
          <w:rFonts w:eastAsiaTheme="majorEastAsia" w:cstheme="majorBidi"/>
          <w:b/>
          <w:bCs/>
          <w:color w:val="00008B"/>
          <w:szCs w:val="20"/>
        </w:rPr>
        <w:t xml:space="preserve"> or full-time employment</w:t>
      </w:r>
    </w:p>
    <w:p w:rsidR="00F33684" w:rsidRDefault="00E32BE3">
      <w:pPr>
        <w:pStyle w:val="ESBodyText"/>
        <w:spacing w:after="240"/>
      </w:pPr>
      <w:r>
        <w:t>Percentage of students going on to further studies or full-time employment.</w:t>
      </w:r>
    </w:p>
    <w:tbl>
      <w:tblPr>
        <w:tblStyle w:val="GridTable2-Accent61"/>
        <w:tblW w:w="4832" w:type="pct"/>
        <w:jc w:val="center"/>
        <w:tblLook w:val="04A0" w:firstRow="1" w:lastRow="0" w:firstColumn="1" w:lastColumn="0" w:noHBand="0" w:noVBand="1"/>
        <w:tblCaption w:val="Student Exiting for further studies and FTE "/>
      </w:tblPr>
      <w:tblGrid>
        <w:gridCol w:w="5127"/>
        <w:gridCol w:w="1055"/>
        <w:gridCol w:w="1055"/>
        <w:gridCol w:w="1055"/>
        <w:gridCol w:w="1056"/>
        <w:gridCol w:w="1056"/>
      </w:tblGrid>
      <w:tr w:rsidR="00C440C6" w:rsidTr="00C440C6">
        <w:trPr>
          <w:cnfStyle w:val="100000000000" w:firstRow="1" w:lastRow="0" w:firstColumn="0" w:lastColumn="0" w:oddVBand="0" w:evenVBand="0" w:oddHBand="0" w:evenHBand="0" w:firstRowFirstColumn="0" w:firstRowLastColumn="0" w:lastRowFirstColumn="0" w:lastRowLastColumn="0"/>
          <w:trHeight w:val="576"/>
          <w:tblHeader/>
          <w:jc w:val="center"/>
        </w:trPr>
        <w:tc>
          <w:tcPr>
            <w:cnfStyle w:val="001000000000" w:firstRow="0" w:lastRow="0" w:firstColumn="1" w:lastColumn="0" w:oddVBand="0" w:evenVBand="0" w:oddHBand="0" w:evenHBand="0" w:firstRowFirstColumn="0" w:firstRowLastColumn="0" w:lastRowFirstColumn="0" w:lastRowLastColumn="0"/>
            <w:tcW w:w="2415" w:type="pct"/>
            <w:tcBorders>
              <w:bottom w:val="nil"/>
            </w:tcBorders>
            <w:shd w:val="clear" w:color="auto" w:fill="106CB5"/>
            <w:vAlign w:val="center"/>
          </w:tcPr>
          <w:p w:rsidR="00F33684" w:rsidRDefault="00E32BE3">
            <w:pPr>
              <w:spacing w:before="40" w:after="40"/>
              <w:rPr>
                <w:rFonts w:cs="Times New Roman"/>
                <w:color w:val="FFFFFF"/>
                <w:szCs w:val="22"/>
              </w:rPr>
            </w:pPr>
            <w:r>
              <w:rPr>
                <w:rFonts w:cs="Times New Roman"/>
                <w:color w:val="FFFFFF"/>
                <w:szCs w:val="22"/>
              </w:rPr>
              <w:t>Student Exits</w:t>
            </w:r>
          </w:p>
        </w:tc>
        <w:tc>
          <w:tcPr>
            <w:tcW w:w="517" w:type="pct"/>
            <w:tcBorders>
              <w:bottom w:val="nil"/>
            </w:tcBorders>
            <w:shd w:val="clear" w:color="auto" w:fill="106CB5"/>
            <w:vAlign w:val="center"/>
            <w:hideMark/>
          </w:tcPr>
          <w:p w:rsidR="00F33684" w:rsidRDefault="00E32BE3" w:rsidP="00842388">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color w:val="FFFFFF"/>
                <w:szCs w:val="22"/>
              </w:rPr>
              <w:t>201</w:t>
            </w:r>
            <w:r>
              <w:rPr>
                <w:rFonts w:cs="Times New Roman"/>
                <w:color w:val="FFFFFF"/>
                <w:szCs w:val="22"/>
              </w:rPr>
              <w:t>6</w:t>
            </w:r>
          </w:p>
        </w:tc>
        <w:tc>
          <w:tcPr>
            <w:tcW w:w="517" w:type="pct"/>
            <w:tcBorders>
              <w:bottom w:val="nil"/>
            </w:tcBorders>
            <w:shd w:val="clear" w:color="auto" w:fill="106CB5"/>
            <w:vAlign w:val="center"/>
          </w:tcPr>
          <w:p w:rsidR="00F33684" w:rsidRDefault="00E32BE3" w:rsidP="00842388">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color w:val="FFFFFF"/>
                <w:szCs w:val="22"/>
              </w:rPr>
              <w:t>201</w:t>
            </w:r>
            <w:r>
              <w:rPr>
                <w:rFonts w:cs="Times New Roman"/>
                <w:color w:val="FFFFFF"/>
                <w:szCs w:val="22"/>
              </w:rPr>
              <w:t>7</w:t>
            </w:r>
          </w:p>
        </w:tc>
        <w:tc>
          <w:tcPr>
            <w:tcW w:w="517" w:type="pct"/>
            <w:tcBorders>
              <w:bottom w:val="nil"/>
            </w:tcBorders>
            <w:shd w:val="clear" w:color="auto" w:fill="106CB5"/>
            <w:vAlign w:val="center"/>
          </w:tcPr>
          <w:p w:rsidR="00F33684" w:rsidRDefault="00E32BE3" w:rsidP="00842388">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color w:val="FFFFFF"/>
                <w:szCs w:val="22"/>
              </w:rPr>
              <w:t>201</w:t>
            </w:r>
            <w:r>
              <w:rPr>
                <w:rFonts w:cs="Times New Roman"/>
                <w:color w:val="FFFFFF"/>
                <w:szCs w:val="22"/>
              </w:rPr>
              <w:t>8</w:t>
            </w:r>
          </w:p>
        </w:tc>
        <w:tc>
          <w:tcPr>
            <w:tcW w:w="517" w:type="pct"/>
            <w:tcBorders>
              <w:bottom w:val="nil"/>
            </w:tcBorders>
            <w:shd w:val="clear" w:color="auto" w:fill="106CB5"/>
            <w:vAlign w:val="center"/>
          </w:tcPr>
          <w:p w:rsidR="00F33684" w:rsidRDefault="00E32BE3" w:rsidP="00842388">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bCs w:val="0"/>
                <w:color w:val="FFFFFF"/>
                <w:szCs w:val="22"/>
              </w:rPr>
              <w:t>201</w:t>
            </w:r>
            <w:r>
              <w:rPr>
                <w:rFonts w:cs="Times New Roman"/>
                <w:bCs w:val="0"/>
                <w:color w:val="FFFFFF"/>
                <w:szCs w:val="22"/>
              </w:rPr>
              <w:t>9</w:t>
            </w:r>
          </w:p>
        </w:tc>
        <w:tc>
          <w:tcPr>
            <w:tcW w:w="517" w:type="pct"/>
            <w:tcBorders>
              <w:bottom w:val="nil"/>
            </w:tcBorders>
            <w:shd w:val="clear" w:color="auto" w:fill="106CB5"/>
            <w:vAlign w:val="center"/>
          </w:tcPr>
          <w:p w:rsidR="00F33684" w:rsidRDefault="00E32BE3">
            <w:pPr>
              <w:spacing w:before="40" w:after="40"/>
              <w:jc w:val="center"/>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bCs w:val="0"/>
                <w:color w:val="FFFFFF"/>
                <w:szCs w:val="22"/>
              </w:rPr>
              <w:t>4 year average</w:t>
            </w:r>
          </w:p>
        </w:tc>
      </w:tr>
      <w:tr w:rsidR="00C440C6" w:rsidTr="00C440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5" w:type="pct"/>
            <w:tcBorders>
              <w:top w:val="nil"/>
              <w:bottom w:val="single" w:sz="12" w:space="0" w:color="106CB5"/>
            </w:tcBorders>
            <w:shd w:val="clear" w:color="auto" w:fill="auto"/>
            <w:noWrap/>
            <w:vAlign w:val="center"/>
          </w:tcPr>
          <w:p w:rsidR="00F33684" w:rsidRDefault="00E32BE3">
            <w:pPr>
              <w:spacing w:before="40" w:after="40"/>
              <w:rPr>
                <w:rFonts w:cs="Times New Roman"/>
                <w:szCs w:val="22"/>
              </w:rPr>
            </w:pPr>
            <w:r>
              <w:rPr>
                <w:rFonts w:cs="Times New Roman"/>
                <w:szCs w:val="22"/>
              </w:rPr>
              <w:t>Percent exiting to further studies or full-time employment</w:t>
            </w:r>
          </w:p>
        </w:tc>
        <w:tc>
          <w:tcPr>
            <w:tcW w:w="517" w:type="pct"/>
            <w:tcBorders>
              <w:top w:val="nil"/>
              <w:bottom w:val="single" w:sz="12" w:space="0" w:color="106CB5"/>
            </w:tcBorders>
            <w:shd w:val="clear" w:color="auto" w:fill="auto"/>
            <w:noWrap/>
            <w:vAlign w:val="center"/>
          </w:tcPr>
          <w:p w:rsidR="00F33684" w:rsidRDefault="00E32BE3" w:rsidP="00B14110">
            <w:pPr>
              <w:jc w:val="right"/>
              <w:cnfStyle w:val="000000100000" w:firstRow="0" w:lastRow="0" w:firstColumn="0" w:lastColumn="0" w:oddVBand="0" w:evenVBand="0" w:oddHBand="1" w:evenHBand="0" w:firstRowFirstColumn="0" w:firstRowLastColumn="0" w:lastRowFirstColumn="0" w:lastRowLastColumn="0"/>
            </w:pPr>
            <w:r>
              <w:t xml:space="preserve"> 80.0</w:t>
            </w:r>
          </w:p>
        </w:tc>
        <w:tc>
          <w:tcPr>
            <w:tcW w:w="517" w:type="pct"/>
            <w:tcBorders>
              <w:top w:val="nil"/>
              <w:bottom w:val="single" w:sz="12" w:space="0" w:color="106CB5"/>
            </w:tcBorders>
            <w:shd w:val="clear" w:color="auto" w:fill="auto"/>
            <w:vAlign w:val="center"/>
          </w:tcPr>
          <w:p w:rsidR="00F33684" w:rsidRDefault="00E32BE3" w:rsidP="00B14110">
            <w:pPr>
              <w:jc w:val="right"/>
              <w:cnfStyle w:val="000000100000" w:firstRow="0" w:lastRow="0" w:firstColumn="0" w:lastColumn="0" w:oddVBand="0" w:evenVBand="0" w:oddHBand="1" w:evenHBand="0" w:firstRowFirstColumn="0" w:firstRowLastColumn="0" w:lastRowFirstColumn="0" w:lastRowLastColumn="0"/>
            </w:pPr>
            <w:r>
              <w:t>np</w:t>
            </w:r>
          </w:p>
        </w:tc>
        <w:tc>
          <w:tcPr>
            <w:tcW w:w="517" w:type="pct"/>
            <w:tcBorders>
              <w:top w:val="nil"/>
              <w:bottom w:val="single" w:sz="12" w:space="0" w:color="106CB5"/>
            </w:tcBorders>
            <w:shd w:val="clear" w:color="auto" w:fill="auto"/>
            <w:vAlign w:val="center"/>
          </w:tcPr>
          <w:p w:rsidR="00F33684" w:rsidRDefault="00E32BE3" w:rsidP="00B14110">
            <w:pPr>
              <w:jc w:val="right"/>
              <w:cnfStyle w:val="000000100000" w:firstRow="0" w:lastRow="0" w:firstColumn="0" w:lastColumn="0" w:oddVBand="0" w:evenVBand="0" w:oddHBand="1" w:evenHBand="0" w:firstRowFirstColumn="0" w:firstRowLastColumn="0" w:lastRowFirstColumn="0" w:lastRowLastColumn="0"/>
            </w:pPr>
            <w:r>
              <w:t>100.0</w:t>
            </w:r>
          </w:p>
        </w:tc>
        <w:tc>
          <w:tcPr>
            <w:tcW w:w="517" w:type="pct"/>
            <w:tcBorders>
              <w:top w:val="nil"/>
              <w:bottom w:val="single" w:sz="12" w:space="0" w:color="106CB5"/>
            </w:tcBorders>
            <w:shd w:val="clear" w:color="auto" w:fill="auto"/>
            <w:vAlign w:val="center"/>
          </w:tcPr>
          <w:p w:rsidR="00F33684" w:rsidRDefault="00E32BE3" w:rsidP="00B14110">
            <w:pPr>
              <w:jc w:val="right"/>
              <w:cnfStyle w:val="000000100000" w:firstRow="0" w:lastRow="0" w:firstColumn="0" w:lastColumn="0" w:oddVBand="0" w:evenVBand="0" w:oddHBand="1" w:evenHBand="0" w:firstRowFirstColumn="0" w:firstRowLastColumn="0" w:lastRowFirstColumn="0" w:lastRowLastColumn="0"/>
            </w:pPr>
            <w:r>
              <w:t>np</w:t>
            </w:r>
          </w:p>
        </w:tc>
        <w:tc>
          <w:tcPr>
            <w:tcW w:w="517" w:type="pct"/>
            <w:tcBorders>
              <w:top w:val="nil"/>
              <w:bottom w:val="single" w:sz="12" w:space="0" w:color="106CB5"/>
            </w:tcBorders>
            <w:shd w:val="clear" w:color="auto" w:fill="auto"/>
            <w:vAlign w:val="center"/>
          </w:tcPr>
          <w:p w:rsidR="00F33684" w:rsidRDefault="00E32BE3" w:rsidP="00B14110">
            <w:pPr>
              <w:jc w:val="right"/>
              <w:cnfStyle w:val="000000100000" w:firstRow="0" w:lastRow="0" w:firstColumn="0" w:lastColumn="0" w:oddVBand="0" w:evenVBand="0" w:oddHBand="1" w:evenHBand="0" w:firstRowFirstColumn="0" w:firstRowLastColumn="0" w:lastRowFirstColumn="0" w:lastRowLastColumn="0"/>
            </w:pPr>
            <w:r>
              <w:t xml:space="preserve"> 95.0</w:t>
            </w:r>
          </w:p>
        </w:tc>
      </w:tr>
    </w:tbl>
    <w:p w:rsidR="00F33684" w:rsidRDefault="00E32BE3">
      <w:pPr>
        <w:pStyle w:val="ESBodyText"/>
        <w:spacing w:before="60"/>
      </w:pPr>
      <w:r>
        <w:t xml:space="preserve">Note: This measure </w:t>
      </w:r>
      <w:r>
        <w:t>refers to data from the previous calendar year. Data excludes destinations recorded as 'Unknown'.</w:t>
      </w:r>
    </w:p>
    <w:p w:rsidR="00F33684" w:rsidRDefault="00E32BE3">
      <w:r>
        <w:br w:type="page"/>
      </w:r>
    </w:p>
    <w:p w:rsidR="00F33684" w:rsidRDefault="00E32BE3">
      <w:pPr>
        <w:pStyle w:val="ESBodyText"/>
        <w:jc w:val="center"/>
        <w:rPr>
          <w:rFonts w:eastAsiaTheme="majorEastAsia" w:cstheme="majorBidi"/>
          <w:b/>
          <w:spacing w:val="5"/>
          <w:kern w:val="28"/>
          <w:sz w:val="44"/>
          <w:szCs w:val="52"/>
        </w:rPr>
      </w:pPr>
      <w:r>
        <w:rPr>
          <w:rFonts w:eastAsiaTheme="majorEastAsia" w:cstheme="majorBidi"/>
          <w:b/>
          <w:spacing w:val="5"/>
          <w:kern w:val="28"/>
          <w:sz w:val="44"/>
          <w:szCs w:val="52"/>
        </w:rPr>
        <w:lastRenderedPageBreak/>
        <w:t>Financial Performance and Position</w:t>
      </w:r>
    </w:p>
    <w:p w:rsidR="00F33684" w:rsidRDefault="00E32BE3">
      <w:pPr>
        <w:pStyle w:val="ESBodyText"/>
      </w:pPr>
    </w:p>
    <w:p w:rsidR="00F33684" w:rsidRDefault="00E32BE3">
      <w:pPr>
        <w:pStyle w:val="ESBodyText"/>
        <w:keepNext/>
        <w:keepLines/>
        <w:spacing w:before="240"/>
        <w:outlineLvl w:val="0"/>
        <w:rPr>
          <w:rFonts w:eastAsiaTheme="majorEastAsia" w:cstheme="majorBidi"/>
          <w:b/>
          <w:bCs/>
          <w:caps/>
          <w:color w:val="00008B"/>
          <w:sz w:val="20"/>
          <w:szCs w:val="20"/>
          <w:u w:val="single"/>
        </w:rPr>
      </w:pPr>
      <w:r>
        <w:rPr>
          <w:rFonts w:eastAsiaTheme="majorEastAsia" w:cstheme="majorBidi"/>
          <w:b/>
          <w:bCs/>
          <w:caps/>
          <w:color w:val="00008B"/>
          <w:sz w:val="20"/>
          <w:szCs w:val="20"/>
          <w:u w:val="single"/>
        </w:rPr>
        <w:t>Financial Performance - Operating Statement</w:t>
      </w:r>
      <w:r>
        <w:rPr>
          <w:rFonts w:eastAsiaTheme="majorEastAsia" w:cstheme="majorBidi"/>
          <w:b/>
          <w:bCs/>
          <w:caps/>
          <w:color w:val="00008B"/>
          <w:sz w:val="20"/>
          <w:szCs w:val="20"/>
          <w:u w:val="single"/>
        </w:rPr>
        <w:t xml:space="preserve"> </w:t>
      </w:r>
      <w:r>
        <w:rPr>
          <w:rFonts w:eastAsiaTheme="majorEastAsia" w:cstheme="majorBidi"/>
          <w:b/>
          <w:bCs/>
          <w:caps/>
          <w:color w:val="00008B"/>
          <w:sz w:val="20"/>
          <w:szCs w:val="20"/>
          <w:u w:val="single"/>
        </w:rPr>
        <w:t>Summary for the year ending 31 December, 2019</w:t>
      </w:r>
    </w:p>
    <w:tbl>
      <w:tblPr>
        <w:tblStyle w:val="GridTable2-Accent6121"/>
        <w:tblW w:w="2876" w:type="pct"/>
        <w:jc w:val="center"/>
        <w:tblLook w:val="04A0" w:firstRow="1" w:lastRow="0" w:firstColumn="1" w:lastColumn="0" w:noHBand="0" w:noVBand="1"/>
        <w:tblCaption w:val="Finance - Revenue Table"/>
      </w:tblPr>
      <w:tblGrid>
        <w:gridCol w:w="4428"/>
        <w:gridCol w:w="1765"/>
      </w:tblGrid>
      <w:tr w:rsidR="00C440C6" w:rsidTr="00C440C6">
        <w:trPr>
          <w:cnfStyle w:val="100000000000" w:firstRow="1" w:lastRow="0" w:firstColumn="0" w:lastColumn="0" w:oddVBand="0" w:evenVBand="0" w:oddHBand="0" w:evenHBand="0" w:firstRowFirstColumn="0" w:firstRowLastColumn="0" w:lastRowFirstColumn="0" w:lastRowLastColumn="0"/>
          <w:trHeight w:hRule="exact" w:val="454"/>
          <w:tblHeader/>
          <w:jc w:val="center"/>
        </w:trPr>
        <w:tc>
          <w:tcPr>
            <w:cnfStyle w:val="001000000000" w:firstRow="0" w:lastRow="0" w:firstColumn="1" w:lastColumn="0" w:oddVBand="0" w:evenVBand="0" w:oddHBand="0" w:evenHBand="0" w:firstRowFirstColumn="0" w:firstRowLastColumn="0" w:lastRowFirstColumn="0" w:lastRowLastColumn="0"/>
            <w:tcW w:w="3575" w:type="pct"/>
            <w:tcBorders>
              <w:bottom w:val="nil"/>
            </w:tcBorders>
            <w:shd w:val="clear" w:color="auto" w:fill="106CB5"/>
            <w:vAlign w:val="center"/>
            <w:hideMark/>
          </w:tcPr>
          <w:p w:rsidR="00F33684" w:rsidRDefault="00E32BE3">
            <w:pPr>
              <w:spacing w:before="40" w:after="40"/>
              <w:rPr>
                <w:rFonts w:cs="Times New Roman"/>
                <w:color w:val="FFFFFF"/>
                <w:szCs w:val="22"/>
              </w:rPr>
            </w:pPr>
            <w:r>
              <w:rPr>
                <w:rFonts w:cs="Times New Roman"/>
                <w:b w:val="0"/>
                <w:color w:val="FFFFFF"/>
                <w:szCs w:val="22"/>
              </w:rPr>
              <w:t>Revenue</w:t>
            </w:r>
          </w:p>
        </w:tc>
        <w:tc>
          <w:tcPr>
            <w:tcW w:w="1425" w:type="pct"/>
            <w:tcBorders>
              <w:bottom w:val="nil"/>
            </w:tcBorders>
            <w:shd w:val="clear" w:color="auto" w:fill="106CB5"/>
            <w:vAlign w:val="center"/>
            <w:hideMark/>
          </w:tcPr>
          <w:p w:rsidR="00F33684" w:rsidRDefault="00E32BE3">
            <w:pPr>
              <w:spacing w:before="40" w:after="40"/>
              <w:jc w:val="right"/>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b w:val="0"/>
                <w:color w:val="FFFFFF"/>
                <w:szCs w:val="22"/>
              </w:rPr>
              <w:t>Actual</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single" w:sz="4" w:space="0" w:color="FFFFFF"/>
            </w:tcBorders>
            <w:shd w:val="clear" w:color="auto" w:fill="D9D9D9"/>
            <w:noWrap/>
            <w:vAlign w:val="center"/>
            <w:hideMark/>
          </w:tcPr>
          <w:p w:rsidR="00F33684" w:rsidRDefault="00E32BE3">
            <w:pPr>
              <w:spacing w:before="40" w:after="40"/>
              <w:rPr>
                <w:rFonts w:cs="Times New Roman"/>
                <w:szCs w:val="22"/>
              </w:rPr>
            </w:pPr>
            <w:r>
              <w:rPr>
                <w:rFonts w:cs="Times New Roman"/>
                <w:b w:val="0"/>
                <w:szCs w:val="22"/>
              </w:rPr>
              <w:t xml:space="preserve">Student </w:t>
            </w:r>
            <w:r>
              <w:rPr>
                <w:rFonts w:cs="Times New Roman"/>
                <w:b w:val="0"/>
                <w:szCs w:val="22"/>
              </w:rPr>
              <w:t>Resource Package</w:t>
            </w:r>
          </w:p>
        </w:tc>
        <w:tc>
          <w:tcPr>
            <w:tcW w:w="1425" w:type="pct"/>
            <w:tcBorders>
              <w:top w:val="nil"/>
              <w:left w:val="single" w:sz="4" w:space="0" w:color="FFFFFF"/>
              <w:bottom w:val="nil"/>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$1,786,308</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single" w:sz="4" w:space="0" w:color="FFFFFF"/>
            </w:tcBorders>
            <w:noWrap/>
            <w:vAlign w:val="center"/>
            <w:hideMark/>
          </w:tcPr>
          <w:p w:rsidR="00F33684" w:rsidRDefault="00E32BE3">
            <w:pPr>
              <w:spacing w:before="40" w:after="40"/>
              <w:rPr>
                <w:rFonts w:cs="Times New Roman"/>
                <w:szCs w:val="22"/>
              </w:rPr>
            </w:pPr>
            <w:r>
              <w:rPr>
                <w:rFonts w:cs="Times New Roman"/>
                <w:b w:val="0"/>
                <w:szCs w:val="22"/>
              </w:rPr>
              <w:t>Government Provided DET Grants</w:t>
            </w:r>
          </w:p>
        </w:tc>
        <w:tc>
          <w:tcPr>
            <w:tcW w:w="1425" w:type="pct"/>
            <w:tcBorders>
              <w:top w:val="nil"/>
              <w:left w:val="single" w:sz="4" w:space="0" w:color="FFFFFF"/>
              <w:bottom w:val="nil"/>
            </w:tcBorders>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$363,684</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single" w:sz="4" w:space="0" w:color="FFFFFF"/>
            </w:tcBorders>
            <w:shd w:val="clear" w:color="auto" w:fill="D9D9D9"/>
            <w:noWrap/>
            <w:vAlign w:val="center"/>
            <w:hideMark/>
          </w:tcPr>
          <w:p w:rsidR="00F33684" w:rsidRDefault="00E32BE3">
            <w:pPr>
              <w:spacing w:before="40" w:after="40"/>
              <w:rPr>
                <w:rFonts w:cs="Times New Roman"/>
                <w:szCs w:val="22"/>
              </w:rPr>
            </w:pPr>
            <w:r>
              <w:rPr>
                <w:rFonts w:cs="Times New Roman"/>
                <w:b w:val="0"/>
                <w:szCs w:val="22"/>
              </w:rPr>
              <w:t>Government Grants Commonwealth</w:t>
            </w:r>
          </w:p>
        </w:tc>
        <w:tc>
          <w:tcPr>
            <w:tcW w:w="1425" w:type="pct"/>
            <w:tcBorders>
              <w:top w:val="nil"/>
              <w:left w:val="single" w:sz="4" w:space="0" w:color="FFFFFF"/>
              <w:bottom w:val="nil"/>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$3,600</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single" w:sz="4" w:space="0" w:color="FFFFFF"/>
            </w:tcBorders>
            <w:noWrap/>
            <w:vAlign w:val="center"/>
            <w:hideMark/>
          </w:tcPr>
          <w:p w:rsidR="00F33684" w:rsidRDefault="00E32BE3">
            <w:pPr>
              <w:spacing w:before="40" w:after="40"/>
              <w:rPr>
                <w:rFonts w:cs="Times New Roman"/>
                <w:szCs w:val="22"/>
              </w:rPr>
            </w:pPr>
            <w:r>
              <w:rPr>
                <w:rFonts w:cs="Times New Roman"/>
                <w:b w:val="0"/>
                <w:szCs w:val="22"/>
              </w:rPr>
              <w:t>Government Grants State</w:t>
            </w:r>
          </w:p>
        </w:tc>
        <w:tc>
          <w:tcPr>
            <w:tcW w:w="1425" w:type="pct"/>
            <w:tcBorders>
              <w:top w:val="nil"/>
              <w:left w:val="single" w:sz="4" w:space="0" w:color="FFFFFF"/>
              <w:bottom w:val="nil"/>
            </w:tcBorders>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$0</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single" w:sz="4" w:space="0" w:color="FFFFFF"/>
            </w:tcBorders>
            <w:shd w:val="clear" w:color="auto" w:fill="D9D9D9"/>
            <w:noWrap/>
            <w:vAlign w:val="center"/>
            <w:hideMark/>
          </w:tcPr>
          <w:p w:rsidR="00F33684" w:rsidRDefault="00E32BE3">
            <w:pPr>
              <w:spacing w:before="40" w:after="40"/>
              <w:rPr>
                <w:rFonts w:cs="Times New Roman"/>
                <w:szCs w:val="22"/>
              </w:rPr>
            </w:pPr>
            <w:r>
              <w:rPr>
                <w:rFonts w:cs="Times New Roman"/>
                <w:b w:val="0"/>
                <w:bCs w:val="0"/>
                <w:szCs w:val="22"/>
              </w:rPr>
              <w:t>Revenue Other</w:t>
            </w:r>
          </w:p>
        </w:tc>
        <w:tc>
          <w:tcPr>
            <w:tcW w:w="1425" w:type="pct"/>
            <w:tcBorders>
              <w:top w:val="nil"/>
              <w:left w:val="single" w:sz="4" w:space="0" w:color="FFFFFF"/>
              <w:bottom w:val="nil"/>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$14,959</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nil"/>
              <w:right w:val="nil"/>
            </w:tcBorders>
            <w:shd w:val="clear" w:color="auto" w:fill="auto"/>
            <w:noWrap/>
            <w:vAlign w:val="center"/>
          </w:tcPr>
          <w:p w:rsidR="00F33684" w:rsidRDefault="00E32BE3">
            <w:pPr>
              <w:spacing w:before="40" w:after="40"/>
              <w:rPr>
                <w:rFonts w:cs="Times New Roman"/>
                <w:szCs w:val="22"/>
              </w:rPr>
            </w:pPr>
            <w:r>
              <w:rPr>
                <w:rFonts w:cs="Times New Roman"/>
                <w:b w:val="0"/>
                <w:bCs w:val="0"/>
                <w:szCs w:val="22"/>
              </w:rPr>
              <w:t>Locally Raised Funds</w:t>
            </w:r>
          </w:p>
        </w:tc>
        <w:tc>
          <w:tcPr>
            <w:tcW w:w="1425" w:type="pct"/>
            <w:tcBorders>
              <w:top w:val="nil"/>
              <w:left w:val="nil"/>
              <w:bottom w:val="nil"/>
            </w:tcBorders>
            <w:shd w:val="clear" w:color="auto" w:fill="auto"/>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$12,837</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nil"/>
              <w:bottom w:val="single" w:sz="2" w:space="0" w:color="106CB5"/>
              <w:right w:val="nil"/>
            </w:tcBorders>
            <w:shd w:val="clear" w:color="auto" w:fill="D9D9D9"/>
            <w:noWrap/>
            <w:vAlign w:val="center"/>
          </w:tcPr>
          <w:p w:rsidR="00140507" w:rsidRPr="00140507" w:rsidRDefault="00E32BE3">
            <w:pPr>
              <w:spacing w:before="40" w:after="40"/>
              <w:rPr>
                <w:rFonts w:cs="Times New Roman"/>
                <w:szCs w:val="22"/>
              </w:rPr>
            </w:pPr>
            <w:r>
              <w:rPr>
                <w:rFonts w:cs="Times New Roman"/>
                <w:b w:val="0"/>
                <w:szCs w:val="22"/>
              </w:rPr>
              <w:t>Capital Grants</w:t>
            </w:r>
          </w:p>
        </w:tc>
        <w:tc>
          <w:tcPr>
            <w:tcW w:w="1425" w:type="pct"/>
            <w:tcBorders>
              <w:top w:val="nil"/>
              <w:left w:val="nil"/>
              <w:bottom w:val="single" w:sz="2" w:space="0" w:color="106CB5"/>
            </w:tcBorders>
            <w:shd w:val="clear" w:color="auto" w:fill="D9D9D9"/>
            <w:noWrap/>
            <w:vAlign w:val="center"/>
          </w:tcPr>
          <w:p w:rsidR="00140507" w:rsidRDefault="00E32BE3">
            <w:pPr>
              <w:jc w:val="right"/>
              <w:cnfStyle w:val="000000100000" w:firstRow="0" w:lastRow="0" w:firstColumn="0" w:lastColumn="0" w:oddVBand="0" w:evenVBand="0" w:oddHBand="1" w:evenHBand="0" w:firstRowFirstColumn="0" w:firstRowLastColumn="0" w:lastRowFirstColumn="0" w:lastRowLastColumn="0"/>
            </w:pPr>
            <w:r>
              <w:t>$0</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575" w:type="pct"/>
            <w:tcBorders>
              <w:top w:val="single" w:sz="2" w:space="0" w:color="106CB5"/>
              <w:bottom w:val="single" w:sz="2" w:space="0" w:color="106CB5"/>
            </w:tcBorders>
            <w:noWrap/>
            <w:vAlign w:val="center"/>
            <w:hideMark/>
          </w:tcPr>
          <w:p w:rsidR="00F33684" w:rsidRDefault="00E32BE3">
            <w:pPr>
              <w:spacing w:before="40" w:after="40"/>
              <w:rPr>
                <w:rFonts w:cs="Times New Roman"/>
                <w:szCs w:val="22"/>
              </w:rPr>
            </w:pPr>
            <w:r>
              <w:rPr>
                <w:rFonts w:cs="Times New Roman"/>
                <w:szCs w:val="22"/>
              </w:rPr>
              <w:t>Total Operating Revenue</w:t>
            </w:r>
          </w:p>
        </w:tc>
        <w:tc>
          <w:tcPr>
            <w:tcW w:w="1425" w:type="pct"/>
            <w:tcBorders>
              <w:top w:val="single" w:sz="2" w:space="0" w:color="106CB5"/>
              <w:bottom w:val="single" w:sz="2" w:space="0" w:color="106CB5"/>
            </w:tcBorders>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$2,181,387</w:t>
            </w:r>
          </w:p>
        </w:tc>
      </w:tr>
    </w:tbl>
    <w:p w:rsidR="00F33684" w:rsidRDefault="00E32BE3">
      <w:pPr>
        <w:pStyle w:val="ESBodyText"/>
      </w:pPr>
    </w:p>
    <w:tbl>
      <w:tblPr>
        <w:tblStyle w:val="GridTable2-Accent6121"/>
        <w:tblW w:w="2876" w:type="pct"/>
        <w:jc w:val="center"/>
        <w:tblLook w:val="04A0" w:firstRow="1" w:lastRow="0" w:firstColumn="1" w:lastColumn="0" w:noHBand="0" w:noVBand="1"/>
        <w:tblCaption w:val="FInance - Equity Table"/>
      </w:tblPr>
      <w:tblGrid>
        <w:gridCol w:w="4428"/>
        <w:gridCol w:w="1765"/>
      </w:tblGrid>
      <w:tr w:rsidR="00C440C6" w:rsidTr="00C440C6">
        <w:trPr>
          <w:cnfStyle w:val="100000000000" w:firstRow="1" w:lastRow="0" w:firstColumn="0" w:lastColumn="0" w:oddVBand="0" w:evenVBand="0" w:oddHBand="0" w:evenHBand="0" w:firstRowFirstColumn="0" w:firstRowLastColumn="0" w:lastRowFirstColumn="0" w:lastRowLastColumn="0"/>
          <w:trHeight w:hRule="exact" w:val="429"/>
          <w:tblHeader/>
          <w:jc w:val="center"/>
        </w:trPr>
        <w:tc>
          <w:tcPr>
            <w:cnfStyle w:val="001000000000" w:firstRow="0" w:lastRow="0" w:firstColumn="1" w:lastColumn="0" w:oddVBand="0" w:evenVBand="0" w:oddHBand="0" w:evenHBand="0" w:firstRowFirstColumn="0" w:firstRowLastColumn="0" w:lastRowFirstColumn="0" w:lastRowLastColumn="0"/>
            <w:tcW w:w="3228" w:type="pct"/>
            <w:tcBorders>
              <w:bottom w:val="nil"/>
            </w:tcBorders>
            <w:shd w:val="clear" w:color="auto" w:fill="106CB5"/>
            <w:noWrap/>
            <w:vAlign w:val="center"/>
          </w:tcPr>
          <w:p w:rsidR="00F33684" w:rsidRDefault="00E32BE3">
            <w:pPr>
              <w:spacing w:before="40" w:after="40"/>
              <w:rPr>
                <w:rFonts w:cs="Times New Roman"/>
                <w:color w:val="FFFFFF"/>
                <w:szCs w:val="22"/>
              </w:rPr>
            </w:pPr>
            <w:r>
              <w:rPr>
                <w:rFonts w:cs="Times New Roman"/>
                <w:b w:val="0"/>
                <w:color w:val="FFFFFF"/>
                <w:szCs w:val="22"/>
              </w:rPr>
              <w:t xml:space="preserve">Equity </w:t>
            </w:r>
            <w:r>
              <w:rPr>
                <w:rFonts w:cs="Times New Roman"/>
                <w:b w:val="0"/>
                <w:color w:val="FFFFFF"/>
                <w:szCs w:val="22"/>
                <w:vertAlign w:val="superscript"/>
              </w:rPr>
              <w:t>1</w:t>
            </w:r>
          </w:p>
        </w:tc>
        <w:tc>
          <w:tcPr>
            <w:tcW w:w="1772" w:type="pct"/>
            <w:tcBorders>
              <w:bottom w:val="nil"/>
            </w:tcBorders>
            <w:shd w:val="clear" w:color="auto" w:fill="106CB5"/>
            <w:noWrap/>
            <w:vAlign w:val="center"/>
          </w:tcPr>
          <w:p w:rsidR="00F33684" w:rsidRDefault="00E32BE3">
            <w:pPr>
              <w:spacing w:before="40" w:after="40"/>
              <w:jc w:val="right"/>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b w:val="0"/>
                <w:color w:val="FFFFFF"/>
                <w:szCs w:val="22"/>
              </w:rPr>
              <w:t>Actual</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nil"/>
              <w:bottom w:val="nil"/>
            </w:tcBorders>
            <w:shd w:val="clear" w:color="auto" w:fill="D9D9D9"/>
            <w:noWrap/>
            <w:vAlign w:val="center"/>
          </w:tcPr>
          <w:p w:rsidR="00F33684" w:rsidRDefault="00E32BE3">
            <w:pPr>
              <w:spacing w:before="40" w:after="40"/>
              <w:rPr>
                <w:rFonts w:cs="Times New Roman"/>
                <w:szCs w:val="22"/>
              </w:rPr>
            </w:pPr>
            <w:r>
              <w:rPr>
                <w:rFonts w:cs="Times New Roman"/>
                <w:b w:val="0"/>
                <w:szCs w:val="22"/>
              </w:rPr>
              <w:t>Equity (Social Disadvantage)</w:t>
            </w:r>
          </w:p>
        </w:tc>
        <w:tc>
          <w:tcPr>
            <w:tcW w:w="1772" w:type="pct"/>
            <w:tcBorders>
              <w:top w:val="nil"/>
              <w:bottom w:val="nil"/>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$84,646</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nil"/>
              <w:bottom w:val="nil"/>
              <w:right w:val="nil"/>
            </w:tcBorders>
            <w:shd w:val="clear" w:color="auto" w:fill="auto"/>
            <w:noWrap/>
            <w:vAlign w:val="center"/>
          </w:tcPr>
          <w:p w:rsidR="00F33684" w:rsidRDefault="00E32BE3">
            <w:pPr>
              <w:spacing w:before="40" w:after="40"/>
              <w:rPr>
                <w:rFonts w:cs="Times New Roman"/>
                <w:szCs w:val="22"/>
              </w:rPr>
            </w:pPr>
            <w:r>
              <w:rPr>
                <w:rFonts w:cs="Times New Roman"/>
                <w:b w:val="0"/>
                <w:szCs w:val="22"/>
              </w:rPr>
              <w:t>Transition Funding</w:t>
            </w:r>
          </w:p>
        </w:tc>
        <w:tc>
          <w:tcPr>
            <w:tcW w:w="1772" w:type="pct"/>
            <w:tcBorders>
              <w:top w:val="nil"/>
              <w:left w:val="nil"/>
              <w:bottom w:val="nil"/>
            </w:tcBorders>
            <w:shd w:val="clear" w:color="auto" w:fill="auto"/>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$0</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nil"/>
              <w:bottom w:val="nil"/>
            </w:tcBorders>
            <w:shd w:val="clear" w:color="auto" w:fill="D9D9D9"/>
            <w:noWrap/>
            <w:vAlign w:val="center"/>
          </w:tcPr>
          <w:p w:rsidR="00F33684" w:rsidRDefault="00E32BE3">
            <w:pPr>
              <w:spacing w:before="40" w:after="40"/>
              <w:rPr>
                <w:rFonts w:cs="Times New Roman"/>
                <w:szCs w:val="22"/>
              </w:rPr>
            </w:pPr>
            <w:r>
              <w:rPr>
                <w:rFonts w:cs="Times New Roman"/>
                <w:b w:val="0"/>
                <w:szCs w:val="22"/>
              </w:rPr>
              <w:t>Equity (Catch Up)</w:t>
            </w:r>
          </w:p>
        </w:tc>
        <w:tc>
          <w:tcPr>
            <w:tcW w:w="1772" w:type="pct"/>
            <w:tcBorders>
              <w:top w:val="nil"/>
              <w:bottom w:val="nil"/>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$0</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nil"/>
              <w:bottom w:val="single" w:sz="2" w:space="0" w:color="106CB5"/>
            </w:tcBorders>
            <w:shd w:val="clear" w:color="auto" w:fill="auto"/>
            <w:noWrap/>
            <w:vAlign w:val="center"/>
          </w:tcPr>
          <w:p w:rsidR="00F33684" w:rsidRDefault="00E32BE3">
            <w:pPr>
              <w:spacing w:before="40" w:after="40"/>
              <w:rPr>
                <w:rFonts w:cs="Times New Roman"/>
                <w:szCs w:val="22"/>
              </w:rPr>
            </w:pPr>
            <w:r>
              <w:rPr>
                <w:rFonts w:cs="Times New Roman"/>
                <w:b w:val="0"/>
                <w:szCs w:val="22"/>
              </w:rPr>
              <w:t>Equity (Social Disadvantage – Extraordinary Growth)</w:t>
            </w:r>
          </w:p>
          <w:p w:rsidR="00F33684" w:rsidRDefault="00E32BE3">
            <w:pPr>
              <w:spacing w:before="40" w:after="40"/>
              <w:rPr>
                <w:rFonts w:cs="Times New Roman"/>
                <w:color w:val="FFFFFF"/>
                <w:szCs w:val="22"/>
              </w:rPr>
            </w:pPr>
          </w:p>
        </w:tc>
        <w:tc>
          <w:tcPr>
            <w:tcW w:w="1772" w:type="pct"/>
            <w:tcBorders>
              <w:top w:val="nil"/>
              <w:bottom w:val="single" w:sz="2" w:space="0" w:color="106CB5"/>
            </w:tcBorders>
            <w:shd w:val="clear" w:color="auto" w:fill="auto"/>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$0</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single" w:sz="2" w:space="0" w:color="106CB5"/>
              <w:bottom w:val="single" w:sz="2" w:space="0" w:color="106CB5"/>
            </w:tcBorders>
            <w:shd w:val="clear" w:color="auto" w:fill="auto"/>
            <w:noWrap/>
            <w:vAlign w:val="center"/>
          </w:tcPr>
          <w:p w:rsidR="00F33684" w:rsidRDefault="00E32BE3">
            <w:pPr>
              <w:spacing w:before="40" w:after="40"/>
              <w:rPr>
                <w:rFonts w:cs="Times New Roman"/>
                <w:szCs w:val="22"/>
              </w:rPr>
            </w:pPr>
            <w:r>
              <w:rPr>
                <w:rFonts w:cs="Times New Roman"/>
                <w:szCs w:val="22"/>
              </w:rPr>
              <w:t>Equity Total</w:t>
            </w:r>
          </w:p>
        </w:tc>
        <w:tc>
          <w:tcPr>
            <w:tcW w:w="1772" w:type="pct"/>
            <w:tcBorders>
              <w:top w:val="single" w:sz="2" w:space="0" w:color="106CB5"/>
              <w:bottom w:val="single" w:sz="2" w:space="0" w:color="106CB5"/>
            </w:tcBorders>
            <w:shd w:val="clear" w:color="auto" w:fill="auto"/>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$84,646</w:t>
            </w:r>
          </w:p>
        </w:tc>
      </w:tr>
    </w:tbl>
    <w:p w:rsidR="00F33684" w:rsidRDefault="00E32BE3">
      <w:pPr>
        <w:pStyle w:val="ESBodyText"/>
      </w:pPr>
    </w:p>
    <w:tbl>
      <w:tblPr>
        <w:tblStyle w:val="GridTable2-Accent612"/>
        <w:tblW w:w="2876" w:type="pct"/>
        <w:jc w:val="center"/>
        <w:tblLook w:val="04A0" w:firstRow="1" w:lastRow="0" w:firstColumn="1" w:lastColumn="0" w:noHBand="0" w:noVBand="1"/>
        <w:tblCaption w:val="Finance - Expenditure table"/>
      </w:tblPr>
      <w:tblGrid>
        <w:gridCol w:w="3997"/>
        <w:gridCol w:w="2196"/>
      </w:tblGrid>
      <w:tr w:rsidR="00C440C6" w:rsidTr="00C440C6">
        <w:trPr>
          <w:cnfStyle w:val="100000000000" w:firstRow="1" w:lastRow="0" w:firstColumn="0" w:lastColumn="0" w:oddVBand="0" w:evenVBand="0" w:oddHBand="0" w:evenHBand="0" w:firstRowFirstColumn="0" w:firstRowLastColumn="0" w:lastRowFirstColumn="0" w:lastRowLastColumn="0"/>
          <w:trHeight w:hRule="exact" w:val="454"/>
          <w:tblHeader/>
          <w:jc w:val="center"/>
        </w:trPr>
        <w:tc>
          <w:tcPr>
            <w:cnfStyle w:val="001000000000" w:firstRow="0" w:lastRow="0" w:firstColumn="1" w:lastColumn="0" w:oddVBand="0" w:evenVBand="0" w:oddHBand="0" w:evenHBand="0" w:firstRowFirstColumn="0" w:firstRowLastColumn="0" w:lastRowFirstColumn="0" w:lastRowLastColumn="0"/>
            <w:tcW w:w="3227" w:type="pct"/>
            <w:tcBorders>
              <w:bottom w:val="nil"/>
            </w:tcBorders>
            <w:shd w:val="clear" w:color="auto" w:fill="106CB5"/>
            <w:vAlign w:val="center"/>
            <w:hideMark/>
          </w:tcPr>
          <w:p w:rsidR="00F33684" w:rsidRDefault="00E32BE3">
            <w:pPr>
              <w:spacing w:before="40" w:after="40"/>
              <w:rPr>
                <w:rFonts w:cs="Times New Roman"/>
                <w:color w:val="FFFFFF"/>
                <w:szCs w:val="22"/>
              </w:rPr>
            </w:pPr>
            <w:r>
              <w:rPr>
                <w:rFonts w:cs="Times New Roman"/>
                <w:b w:val="0"/>
                <w:color w:val="FFFFFF"/>
                <w:szCs w:val="22"/>
              </w:rPr>
              <w:t>Expenditure</w:t>
            </w:r>
          </w:p>
        </w:tc>
        <w:tc>
          <w:tcPr>
            <w:tcW w:w="1773" w:type="pct"/>
            <w:tcBorders>
              <w:bottom w:val="nil"/>
            </w:tcBorders>
            <w:shd w:val="clear" w:color="auto" w:fill="106CB5"/>
            <w:vAlign w:val="center"/>
            <w:hideMark/>
          </w:tcPr>
          <w:p w:rsidR="00F33684" w:rsidRDefault="00E32BE3">
            <w:pPr>
              <w:spacing w:before="40" w:after="40"/>
              <w:jc w:val="right"/>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b w:val="0"/>
                <w:color w:val="FFFFFF"/>
                <w:szCs w:val="22"/>
              </w:rPr>
              <w:t>Actual</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7" w:type="pct"/>
            <w:tcBorders>
              <w:top w:val="nil"/>
              <w:bottom w:val="nil"/>
              <w:right w:val="single" w:sz="4" w:space="0" w:color="FFFFFF" w:themeColor="background1"/>
            </w:tcBorders>
            <w:shd w:val="clear" w:color="auto" w:fill="D9D9D9"/>
            <w:noWrap/>
            <w:vAlign w:val="center"/>
            <w:hideMark/>
          </w:tcPr>
          <w:p w:rsidR="00F33684" w:rsidRDefault="00E32BE3">
            <w:pPr>
              <w:spacing w:before="40" w:after="40"/>
              <w:rPr>
                <w:rFonts w:cs="Times New Roman"/>
                <w:szCs w:val="22"/>
              </w:rPr>
            </w:pPr>
            <w:r>
              <w:rPr>
                <w:rFonts w:cs="Times New Roman"/>
                <w:b w:val="0"/>
                <w:szCs w:val="22"/>
              </w:rPr>
              <w:t xml:space="preserve">Student Resource Package </w:t>
            </w:r>
            <w:r>
              <w:rPr>
                <w:rFonts w:cs="Times New Roman"/>
                <w:b w:val="0"/>
                <w:szCs w:val="22"/>
                <w:vertAlign w:val="superscript"/>
              </w:rPr>
              <w:t>2</w:t>
            </w:r>
          </w:p>
        </w:tc>
        <w:tc>
          <w:tcPr>
            <w:tcW w:w="1773" w:type="pct"/>
            <w:tcBorders>
              <w:top w:val="nil"/>
              <w:left w:val="single" w:sz="4" w:space="0" w:color="FFFFFF" w:themeColor="background1"/>
              <w:bottom w:val="nil"/>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$1,650,523</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227" w:type="pct"/>
            <w:tcBorders>
              <w:top w:val="nil"/>
              <w:bottom w:val="nil"/>
              <w:right w:val="single" w:sz="4" w:space="0" w:color="FFFFFF" w:themeColor="background1"/>
            </w:tcBorders>
            <w:noWrap/>
            <w:vAlign w:val="center"/>
            <w:hideMark/>
          </w:tcPr>
          <w:p w:rsidR="00F33684" w:rsidRDefault="00E32BE3">
            <w:pPr>
              <w:spacing w:before="40" w:after="40"/>
              <w:rPr>
                <w:rFonts w:cs="Times New Roman"/>
                <w:szCs w:val="22"/>
              </w:rPr>
            </w:pPr>
            <w:r>
              <w:rPr>
                <w:rFonts w:cs="Times New Roman"/>
                <w:b w:val="0"/>
                <w:szCs w:val="22"/>
              </w:rPr>
              <w:t>Adjustments</w:t>
            </w:r>
          </w:p>
        </w:tc>
        <w:tc>
          <w:tcPr>
            <w:tcW w:w="1773" w:type="pct"/>
            <w:tcBorders>
              <w:top w:val="nil"/>
              <w:left w:val="single" w:sz="4" w:space="0" w:color="FFFFFF" w:themeColor="background1"/>
              <w:bottom w:val="nil"/>
            </w:tcBorders>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$0</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7" w:type="pct"/>
            <w:tcBorders>
              <w:top w:val="nil"/>
              <w:bottom w:val="nil"/>
              <w:right w:val="single" w:sz="4" w:space="0" w:color="FFFFFF" w:themeColor="background1"/>
            </w:tcBorders>
            <w:shd w:val="clear" w:color="auto" w:fill="D9D9D9"/>
            <w:noWrap/>
            <w:vAlign w:val="center"/>
          </w:tcPr>
          <w:p w:rsidR="00F33684" w:rsidRDefault="00E32BE3">
            <w:pPr>
              <w:spacing w:before="40" w:after="40"/>
              <w:rPr>
                <w:rFonts w:cs="Times New Roman"/>
                <w:szCs w:val="22"/>
              </w:rPr>
            </w:pPr>
            <w:r>
              <w:rPr>
                <w:rFonts w:cs="Times New Roman"/>
                <w:b w:val="0"/>
                <w:szCs w:val="22"/>
              </w:rPr>
              <w:t xml:space="preserve">Books &amp; </w:t>
            </w:r>
            <w:r>
              <w:rPr>
                <w:rFonts w:cs="Times New Roman"/>
                <w:b w:val="0"/>
                <w:szCs w:val="22"/>
              </w:rPr>
              <w:t>Publications</w:t>
            </w:r>
          </w:p>
        </w:tc>
        <w:tc>
          <w:tcPr>
            <w:tcW w:w="1773" w:type="pct"/>
            <w:tcBorders>
              <w:top w:val="nil"/>
              <w:left w:val="single" w:sz="4" w:space="0" w:color="FFFFFF" w:themeColor="background1"/>
              <w:bottom w:val="nil"/>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$2,499</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227" w:type="pct"/>
            <w:tcBorders>
              <w:top w:val="nil"/>
              <w:bottom w:val="nil"/>
              <w:right w:val="nil"/>
            </w:tcBorders>
            <w:shd w:val="clear" w:color="auto" w:fill="auto"/>
            <w:noWrap/>
            <w:vAlign w:val="center"/>
          </w:tcPr>
          <w:p w:rsidR="00F33684" w:rsidRDefault="00E32BE3">
            <w:pPr>
              <w:spacing w:before="40" w:after="40"/>
              <w:rPr>
                <w:rFonts w:cs="Times New Roman"/>
                <w:szCs w:val="22"/>
              </w:rPr>
            </w:pPr>
            <w:r>
              <w:rPr>
                <w:rFonts w:cs="Times New Roman"/>
                <w:b w:val="0"/>
                <w:szCs w:val="22"/>
              </w:rPr>
              <w:t>Communication Costs</w:t>
            </w:r>
          </w:p>
        </w:tc>
        <w:tc>
          <w:tcPr>
            <w:tcW w:w="1773" w:type="pct"/>
            <w:tcBorders>
              <w:top w:val="nil"/>
              <w:left w:val="nil"/>
              <w:bottom w:val="nil"/>
            </w:tcBorders>
            <w:shd w:val="clear" w:color="auto" w:fill="auto"/>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$3,050</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7" w:type="pct"/>
            <w:tcBorders>
              <w:top w:val="nil"/>
              <w:bottom w:val="nil"/>
              <w:right w:val="single" w:sz="4" w:space="0" w:color="FFFFFF" w:themeColor="background1"/>
            </w:tcBorders>
            <w:shd w:val="clear" w:color="auto" w:fill="D9D9D9"/>
            <w:noWrap/>
            <w:vAlign w:val="center"/>
          </w:tcPr>
          <w:p w:rsidR="00F33684" w:rsidRDefault="00E32BE3">
            <w:pPr>
              <w:spacing w:before="40" w:after="40"/>
              <w:rPr>
                <w:rFonts w:cs="Times New Roman"/>
                <w:szCs w:val="22"/>
              </w:rPr>
            </w:pPr>
            <w:r>
              <w:rPr>
                <w:rFonts w:cs="Times New Roman"/>
                <w:b w:val="0"/>
                <w:bCs w:val="0"/>
                <w:szCs w:val="22"/>
              </w:rPr>
              <w:t>Consumables</w:t>
            </w:r>
          </w:p>
        </w:tc>
        <w:tc>
          <w:tcPr>
            <w:tcW w:w="1773" w:type="pct"/>
            <w:tcBorders>
              <w:top w:val="nil"/>
              <w:left w:val="single" w:sz="4" w:space="0" w:color="FFFFFF" w:themeColor="background1"/>
              <w:bottom w:val="nil"/>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$48,677</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227" w:type="pct"/>
            <w:tcBorders>
              <w:top w:val="nil"/>
              <w:bottom w:val="nil"/>
              <w:right w:val="nil"/>
            </w:tcBorders>
            <w:shd w:val="clear" w:color="auto" w:fill="auto"/>
            <w:noWrap/>
            <w:vAlign w:val="center"/>
          </w:tcPr>
          <w:p w:rsidR="00F33684" w:rsidRDefault="00E32BE3">
            <w:pPr>
              <w:spacing w:before="40" w:after="40"/>
              <w:rPr>
                <w:rFonts w:cs="Times New Roman"/>
                <w:szCs w:val="22"/>
              </w:rPr>
            </w:pPr>
            <w:r>
              <w:rPr>
                <w:rFonts w:cs="Times New Roman"/>
                <w:b w:val="0"/>
                <w:bCs w:val="0"/>
                <w:szCs w:val="22"/>
              </w:rPr>
              <w:t xml:space="preserve">Miscellaneous Expense </w:t>
            </w:r>
            <w:r>
              <w:rPr>
                <w:rFonts w:cs="Times New Roman"/>
                <w:b w:val="0"/>
                <w:bCs w:val="0"/>
                <w:szCs w:val="22"/>
                <w:vertAlign w:val="superscript"/>
              </w:rPr>
              <w:t>3</w:t>
            </w:r>
          </w:p>
        </w:tc>
        <w:tc>
          <w:tcPr>
            <w:tcW w:w="1773" w:type="pct"/>
            <w:tcBorders>
              <w:top w:val="nil"/>
              <w:left w:val="nil"/>
              <w:bottom w:val="nil"/>
            </w:tcBorders>
            <w:shd w:val="clear" w:color="auto" w:fill="auto"/>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$78,123</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7" w:type="pct"/>
            <w:tcBorders>
              <w:top w:val="nil"/>
              <w:bottom w:val="nil"/>
            </w:tcBorders>
            <w:shd w:val="clear" w:color="auto" w:fill="D9D9D9"/>
            <w:noWrap/>
            <w:vAlign w:val="center"/>
          </w:tcPr>
          <w:p w:rsidR="00F33684" w:rsidRDefault="00E32BE3">
            <w:pPr>
              <w:spacing w:before="40" w:after="40"/>
              <w:rPr>
                <w:rFonts w:cs="Times New Roman"/>
                <w:szCs w:val="22"/>
              </w:rPr>
            </w:pPr>
            <w:r>
              <w:rPr>
                <w:rFonts w:cs="Times New Roman"/>
                <w:b w:val="0"/>
                <w:szCs w:val="22"/>
              </w:rPr>
              <w:t>Professional Development</w:t>
            </w:r>
          </w:p>
        </w:tc>
        <w:tc>
          <w:tcPr>
            <w:tcW w:w="1773" w:type="pct"/>
            <w:tcBorders>
              <w:top w:val="nil"/>
              <w:bottom w:val="nil"/>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$13,753</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227" w:type="pct"/>
            <w:tcBorders>
              <w:top w:val="nil"/>
              <w:bottom w:val="nil"/>
              <w:right w:val="nil"/>
            </w:tcBorders>
            <w:shd w:val="clear" w:color="auto" w:fill="auto"/>
            <w:noWrap/>
            <w:vAlign w:val="center"/>
          </w:tcPr>
          <w:p w:rsidR="00F33684" w:rsidRDefault="00E32BE3">
            <w:pPr>
              <w:spacing w:before="40" w:after="40"/>
              <w:rPr>
                <w:rFonts w:cs="Times New Roman"/>
                <w:szCs w:val="22"/>
              </w:rPr>
            </w:pPr>
            <w:r>
              <w:rPr>
                <w:rFonts w:cs="Times New Roman"/>
                <w:b w:val="0"/>
                <w:szCs w:val="22"/>
              </w:rPr>
              <w:t>Property and Equipment Services</w:t>
            </w:r>
          </w:p>
        </w:tc>
        <w:tc>
          <w:tcPr>
            <w:tcW w:w="1773" w:type="pct"/>
            <w:tcBorders>
              <w:top w:val="nil"/>
              <w:left w:val="nil"/>
              <w:bottom w:val="nil"/>
            </w:tcBorders>
            <w:shd w:val="clear" w:color="auto" w:fill="auto"/>
            <w:noWrap/>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$133,059</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7" w:type="pct"/>
            <w:tcBorders>
              <w:top w:val="nil"/>
              <w:bottom w:val="nil"/>
              <w:right w:val="single" w:sz="4" w:space="0" w:color="FFFFFF" w:themeColor="background1"/>
            </w:tcBorders>
            <w:shd w:val="clear" w:color="auto" w:fill="DBD9D6"/>
            <w:noWrap/>
            <w:vAlign w:val="center"/>
          </w:tcPr>
          <w:p w:rsidR="00F33684" w:rsidRDefault="00E32BE3">
            <w:pPr>
              <w:spacing w:before="40" w:after="40"/>
              <w:rPr>
                <w:rFonts w:cs="Times New Roman"/>
                <w:szCs w:val="22"/>
              </w:rPr>
            </w:pPr>
            <w:r>
              <w:rPr>
                <w:rFonts w:cs="Times New Roman"/>
                <w:b w:val="0"/>
                <w:szCs w:val="22"/>
              </w:rPr>
              <w:t xml:space="preserve">Salaries &amp; Allowances </w:t>
            </w:r>
            <w:r>
              <w:rPr>
                <w:rFonts w:cs="Times New Roman"/>
                <w:b w:val="0"/>
                <w:szCs w:val="22"/>
                <w:vertAlign w:val="superscript"/>
              </w:rPr>
              <w:t>4</w:t>
            </w:r>
          </w:p>
        </w:tc>
        <w:tc>
          <w:tcPr>
            <w:tcW w:w="1773" w:type="pct"/>
            <w:tcBorders>
              <w:top w:val="nil"/>
              <w:left w:val="single" w:sz="4" w:space="0" w:color="FFFFFF" w:themeColor="background1"/>
              <w:bottom w:val="nil"/>
            </w:tcBorders>
            <w:shd w:val="clear" w:color="auto" w:fill="DBD9D6"/>
            <w:noWrap/>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$72,035</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227" w:type="pct"/>
            <w:tcBorders>
              <w:top w:val="nil"/>
              <w:bottom w:val="nil"/>
              <w:right w:val="single" w:sz="4" w:space="0" w:color="FFFFFF" w:themeColor="background1"/>
            </w:tcBorders>
            <w:shd w:val="clear" w:color="auto" w:fill="auto"/>
            <w:noWrap/>
            <w:vAlign w:val="center"/>
          </w:tcPr>
          <w:p w:rsidR="00F33684" w:rsidRDefault="00E32BE3">
            <w:pPr>
              <w:spacing w:before="40" w:after="40"/>
              <w:rPr>
                <w:rFonts w:cs="Times New Roman"/>
                <w:szCs w:val="22"/>
              </w:rPr>
            </w:pPr>
            <w:r>
              <w:rPr>
                <w:rFonts w:cs="Times New Roman"/>
                <w:b w:val="0"/>
                <w:szCs w:val="22"/>
              </w:rPr>
              <w:t>Trading &amp; Fundraising</w:t>
            </w:r>
          </w:p>
        </w:tc>
        <w:tc>
          <w:tcPr>
            <w:tcW w:w="1773" w:type="pct"/>
            <w:tcBorders>
              <w:top w:val="nil"/>
              <w:left w:val="single" w:sz="4" w:space="0" w:color="FFFFFF" w:themeColor="background1"/>
              <w:bottom w:val="nil"/>
            </w:tcBorders>
            <w:shd w:val="clear" w:color="auto" w:fill="auto"/>
            <w:noWrap/>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$1,033</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7" w:type="pct"/>
            <w:tcBorders>
              <w:top w:val="nil"/>
              <w:bottom w:val="nil"/>
              <w:right w:val="single" w:sz="4" w:space="0" w:color="FFFFFF" w:themeColor="background1"/>
            </w:tcBorders>
            <w:shd w:val="clear" w:color="auto" w:fill="DBD9D6"/>
            <w:noWrap/>
            <w:vAlign w:val="center"/>
          </w:tcPr>
          <w:p w:rsidR="00F33684" w:rsidRDefault="00E32BE3">
            <w:pPr>
              <w:spacing w:before="40" w:after="40"/>
              <w:rPr>
                <w:rFonts w:cs="Times New Roman"/>
                <w:szCs w:val="22"/>
              </w:rPr>
            </w:pPr>
            <w:r>
              <w:rPr>
                <w:rFonts w:cs="Times New Roman"/>
                <w:b w:val="0"/>
                <w:szCs w:val="22"/>
              </w:rPr>
              <w:t xml:space="preserve">Travel &amp; </w:t>
            </w:r>
            <w:r>
              <w:rPr>
                <w:rFonts w:cs="Times New Roman"/>
                <w:b w:val="0"/>
                <w:szCs w:val="22"/>
              </w:rPr>
              <w:t>Subsistence</w:t>
            </w:r>
          </w:p>
        </w:tc>
        <w:tc>
          <w:tcPr>
            <w:tcW w:w="1773" w:type="pct"/>
            <w:tcBorders>
              <w:top w:val="nil"/>
              <w:left w:val="single" w:sz="4" w:space="0" w:color="FFFFFF" w:themeColor="background1"/>
              <w:bottom w:val="nil"/>
            </w:tcBorders>
            <w:shd w:val="clear" w:color="auto" w:fill="DBD9D6"/>
            <w:noWrap/>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$9,696</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227" w:type="pct"/>
            <w:tcBorders>
              <w:top w:val="nil"/>
              <w:bottom w:val="single" w:sz="2" w:space="0" w:color="106CB5"/>
              <w:right w:val="nil"/>
            </w:tcBorders>
            <w:shd w:val="clear" w:color="auto" w:fill="auto"/>
            <w:noWrap/>
            <w:vAlign w:val="center"/>
          </w:tcPr>
          <w:p w:rsidR="00F33684" w:rsidRDefault="00E32BE3">
            <w:pPr>
              <w:spacing w:before="40" w:after="40"/>
              <w:rPr>
                <w:rFonts w:cs="Times New Roman"/>
                <w:szCs w:val="22"/>
              </w:rPr>
            </w:pPr>
            <w:r>
              <w:rPr>
                <w:rFonts w:cs="Times New Roman"/>
                <w:b w:val="0"/>
                <w:szCs w:val="22"/>
              </w:rPr>
              <w:t>Utilities</w:t>
            </w:r>
          </w:p>
        </w:tc>
        <w:tc>
          <w:tcPr>
            <w:tcW w:w="1773" w:type="pct"/>
            <w:tcBorders>
              <w:top w:val="nil"/>
              <w:left w:val="nil"/>
              <w:bottom w:val="single" w:sz="2" w:space="0" w:color="106CB5"/>
            </w:tcBorders>
            <w:shd w:val="clear" w:color="auto" w:fill="auto"/>
            <w:noWrap/>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$17,921</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7" w:type="pct"/>
            <w:tcBorders>
              <w:top w:val="single" w:sz="2" w:space="0" w:color="106CB5"/>
              <w:bottom w:val="single" w:sz="2" w:space="0" w:color="106CB5"/>
            </w:tcBorders>
            <w:shd w:val="clear" w:color="auto" w:fill="auto"/>
            <w:noWrap/>
            <w:vAlign w:val="center"/>
          </w:tcPr>
          <w:p w:rsidR="00F33684" w:rsidRDefault="00E32BE3">
            <w:pPr>
              <w:rPr>
                <w:rFonts w:cs="Times New Roman"/>
                <w:szCs w:val="22"/>
              </w:rPr>
            </w:pPr>
            <w:r>
              <w:rPr>
                <w:rFonts w:cs="Times New Roman"/>
                <w:szCs w:val="22"/>
              </w:rPr>
              <w:t>Total Operating Expenditure</w:t>
            </w:r>
          </w:p>
          <w:p w:rsidR="00F33684" w:rsidRDefault="00E32BE3">
            <w:pPr>
              <w:spacing w:before="40" w:after="40"/>
              <w:rPr>
                <w:rFonts w:cs="Times New Roman"/>
                <w:szCs w:val="22"/>
              </w:rPr>
            </w:pPr>
          </w:p>
        </w:tc>
        <w:tc>
          <w:tcPr>
            <w:tcW w:w="1773" w:type="pct"/>
            <w:tcBorders>
              <w:top w:val="single" w:sz="2" w:space="0" w:color="106CB5"/>
              <w:bottom w:val="single" w:sz="2" w:space="0" w:color="106CB5"/>
            </w:tcBorders>
            <w:shd w:val="clear" w:color="auto" w:fill="auto"/>
            <w:noWrap/>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$2,030,368</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227" w:type="pct"/>
            <w:tcBorders>
              <w:top w:val="single" w:sz="2" w:space="0" w:color="106CB5"/>
              <w:bottom w:val="single" w:sz="2" w:space="0" w:color="106CB5"/>
            </w:tcBorders>
            <w:shd w:val="clear" w:color="auto" w:fill="auto"/>
            <w:noWrap/>
            <w:vAlign w:val="center"/>
          </w:tcPr>
          <w:p w:rsidR="00F33684" w:rsidRDefault="00E32BE3">
            <w:pPr>
              <w:rPr>
                <w:rFonts w:cs="Times New Roman"/>
                <w:szCs w:val="22"/>
              </w:rPr>
            </w:pPr>
            <w:r>
              <w:rPr>
                <w:rFonts w:cs="Times New Roman"/>
                <w:szCs w:val="22"/>
              </w:rPr>
              <w:t>Net Operating Surplus/-Deficit</w:t>
            </w:r>
          </w:p>
        </w:tc>
        <w:tc>
          <w:tcPr>
            <w:tcW w:w="1773" w:type="pct"/>
            <w:tcBorders>
              <w:top w:val="single" w:sz="2" w:space="0" w:color="106CB5"/>
              <w:bottom w:val="single" w:sz="2" w:space="0" w:color="106CB5"/>
            </w:tcBorders>
            <w:shd w:val="clear" w:color="auto" w:fill="auto"/>
            <w:noWrap/>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$151,019</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7" w:type="pct"/>
            <w:tcBorders>
              <w:top w:val="single" w:sz="2" w:space="0" w:color="106CB5"/>
              <w:bottom w:val="single" w:sz="2" w:space="0" w:color="106CB5"/>
            </w:tcBorders>
            <w:shd w:val="clear" w:color="auto" w:fill="auto"/>
            <w:noWrap/>
            <w:vAlign w:val="center"/>
          </w:tcPr>
          <w:p w:rsidR="00F33684" w:rsidRDefault="00E32BE3">
            <w:pPr>
              <w:rPr>
                <w:rFonts w:cs="Times New Roman"/>
                <w:szCs w:val="22"/>
              </w:rPr>
            </w:pPr>
            <w:r>
              <w:rPr>
                <w:rFonts w:cs="Times New Roman"/>
                <w:szCs w:val="22"/>
              </w:rPr>
              <w:t>Asset Acquisitions</w:t>
            </w:r>
          </w:p>
        </w:tc>
        <w:tc>
          <w:tcPr>
            <w:tcW w:w="1773" w:type="pct"/>
            <w:tcBorders>
              <w:top w:val="single" w:sz="2" w:space="0" w:color="106CB5"/>
              <w:bottom w:val="single" w:sz="2" w:space="0" w:color="106CB5"/>
            </w:tcBorders>
            <w:shd w:val="clear" w:color="auto" w:fill="auto"/>
            <w:noWrap/>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$728</w:t>
            </w:r>
          </w:p>
        </w:tc>
      </w:tr>
    </w:tbl>
    <w:p w:rsidR="00F33684" w:rsidRDefault="00E32BE3">
      <w:pPr>
        <w:pStyle w:val="ESBodyText"/>
      </w:pPr>
    </w:p>
    <w:p w:rsidR="00F33684" w:rsidRDefault="00E32BE3">
      <w:pPr>
        <w:pStyle w:val="ESBodyText"/>
        <w:keepNext/>
        <w:keepLines/>
        <w:spacing w:before="240"/>
        <w:outlineLvl w:val="0"/>
        <w:rPr>
          <w:rFonts w:eastAsiaTheme="majorEastAsia" w:cstheme="majorBidi"/>
          <w:b/>
          <w:bCs/>
          <w:caps/>
          <w:color w:val="00008B"/>
          <w:sz w:val="20"/>
          <w:szCs w:val="20"/>
          <w:u w:val="single"/>
        </w:rPr>
      </w:pPr>
      <w:r>
        <w:rPr>
          <w:rFonts w:eastAsiaTheme="majorEastAsia" w:cstheme="majorBidi"/>
          <w:b/>
          <w:bCs/>
          <w:caps/>
          <w:color w:val="00008B"/>
          <w:sz w:val="20"/>
          <w:szCs w:val="20"/>
          <w:u w:val="single"/>
        </w:rPr>
        <w:t>Financial Position as at 31 December, 2019</w:t>
      </w:r>
    </w:p>
    <w:tbl>
      <w:tblPr>
        <w:tblStyle w:val="GridTable2-Accent612"/>
        <w:tblW w:w="2876" w:type="pct"/>
        <w:jc w:val="center"/>
        <w:tblLook w:val="04A0" w:firstRow="1" w:lastRow="0" w:firstColumn="1" w:lastColumn="0" w:noHBand="0" w:noVBand="1"/>
        <w:tblCaption w:val="Fund available"/>
      </w:tblPr>
      <w:tblGrid>
        <w:gridCol w:w="3998"/>
        <w:gridCol w:w="2195"/>
      </w:tblGrid>
      <w:tr w:rsidR="00C440C6" w:rsidTr="00C440C6">
        <w:trPr>
          <w:cnfStyle w:val="100000000000" w:firstRow="1" w:lastRow="0" w:firstColumn="0" w:lastColumn="0" w:oddVBand="0" w:evenVBand="0" w:oddHBand="0" w:evenHBand="0" w:firstRowFirstColumn="0" w:firstRowLastColumn="0" w:lastRowFirstColumn="0" w:lastRowLastColumn="0"/>
          <w:trHeight w:hRule="exact" w:val="454"/>
          <w:tblHeader/>
          <w:jc w:val="center"/>
        </w:trPr>
        <w:tc>
          <w:tcPr>
            <w:cnfStyle w:val="001000000000" w:firstRow="0" w:lastRow="0" w:firstColumn="1" w:lastColumn="0" w:oddVBand="0" w:evenVBand="0" w:oddHBand="0" w:evenHBand="0" w:firstRowFirstColumn="0" w:firstRowLastColumn="0" w:lastRowFirstColumn="0" w:lastRowLastColumn="0"/>
            <w:tcW w:w="3228" w:type="pct"/>
            <w:tcBorders>
              <w:bottom w:val="nil"/>
            </w:tcBorders>
            <w:shd w:val="clear" w:color="auto" w:fill="106CB5"/>
            <w:vAlign w:val="center"/>
            <w:hideMark/>
          </w:tcPr>
          <w:p w:rsidR="00F33684" w:rsidRDefault="00E32BE3">
            <w:pPr>
              <w:spacing w:before="40" w:after="40"/>
              <w:rPr>
                <w:rFonts w:cs="Times New Roman"/>
                <w:color w:val="FFFFFF"/>
                <w:szCs w:val="22"/>
              </w:rPr>
            </w:pPr>
            <w:r>
              <w:rPr>
                <w:rFonts w:cs="Times New Roman"/>
                <w:b w:val="0"/>
                <w:color w:val="FFFFFF"/>
                <w:szCs w:val="22"/>
              </w:rPr>
              <w:t>Funds available</w:t>
            </w:r>
          </w:p>
        </w:tc>
        <w:tc>
          <w:tcPr>
            <w:tcW w:w="1772" w:type="pct"/>
            <w:tcBorders>
              <w:bottom w:val="nil"/>
            </w:tcBorders>
            <w:shd w:val="clear" w:color="auto" w:fill="106CB5"/>
            <w:vAlign w:val="center"/>
            <w:hideMark/>
          </w:tcPr>
          <w:p w:rsidR="00F33684" w:rsidRDefault="00E32BE3">
            <w:pPr>
              <w:spacing w:before="40" w:after="40"/>
              <w:jc w:val="right"/>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b w:val="0"/>
                <w:color w:val="FFFFFF"/>
                <w:szCs w:val="22"/>
              </w:rPr>
              <w:t>Actual</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nil"/>
              <w:bottom w:val="nil"/>
              <w:right w:val="single" w:sz="4" w:space="0" w:color="FFFFFF" w:themeColor="background1"/>
            </w:tcBorders>
            <w:shd w:val="clear" w:color="auto" w:fill="D9D9D9"/>
            <w:noWrap/>
            <w:vAlign w:val="center"/>
          </w:tcPr>
          <w:p w:rsidR="00F33684" w:rsidRDefault="00E32BE3">
            <w:pPr>
              <w:spacing w:before="40" w:after="40"/>
              <w:rPr>
                <w:rFonts w:cs="Times New Roman"/>
                <w:szCs w:val="22"/>
              </w:rPr>
            </w:pPr>
            <w:r>
              <w:rPr>
                <w:rFonts w:cs="Times New Roman"/>
                <w:b w:val="0"/>
                <w:szCs w:val="22"/>
              </w:rPr>
              <w:t>High Yield Investment Account</w:t>
            </w:r>
          </w:p>
        </w:tc>
        <w:tc>
          <w:tcPr>
            <w:tcW w:w="1772" w:type="pct"/>
            <w:tcBorders>
              <w:top w:val="nil"/>
              <w:left w:val="single" w:sz="4" w:space="0" w:color="FFFFFF" w:themeColor="background1"/>
              <w:bottom w:val="nil"/>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$211,507</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nil"/>
              <w:bottom w:val="nil"/>
              <w:right w:val="single" w:sz="4" w:space="0" w:color="FFFFFF" w:themeColor="background1"/>
            </w:tcBorders>
            <w:noWrap/>
            <w:vAlign w:val="center"/>
          </w:tcPr>
          <w:p w:rsidR="00F33684" w:rsidRDefault="00E32BE3">
            <w:pPr>
              <w:spacing w:before="40" w:after="40"/>
              <w:rPr>
                <w:rFonts w:cs="Times New Roman"/>
                <w:szCs w:val="22"/>
              </w:rPr>
            </w:pPr>
            <w:r>
              <w:rPr>
                <w:rFonts w:cs="Times New Roman"/>
                <w:b w:val="0"/>
                <w:szCs w:val="22"/>
              </w:rPr>
              <w:t>Official Account</w:t>
            </w:r>
          </w:p>
        </w:tc>
        <w:tc>
          <w:tcPr>
            <w:tcW w:w="1772" w:type="pct"/>
            <w:tcBorders>
              <w:top w:val="nil"/>
              <w:left w:val="single" w:sz="4" w:space="0" w:color="FFFFFF" w:themeColor="background1"/>
              <w:bottom w:val="nil"/>
            </w:tcBorders>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$31,380</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nil"/>
              <w:bottom w:val="single" w:sz="2" w:space="0" w:color="106CB5"/>
              <w:right w:val="single" w:sz="4" w:space="0" w:color="FFFFFF" w:themeColor="background1"/>
            </w:tcBorders>
            <w:shd w:val="clear" w:color="auto" w:fill="D9D9D9"/>
            <w:noWrap/>
            <w:vAlign w:val="center"/>
          </w:tcPr>
          <w:p w:rsidR="00F33684" w:rsidRDefault="00E32BE3">
            <w:pPr>
              <w:spacing w:before="40" w:after="40"/>
              <w:rPr>
                <w:rFonts w:cs="Times New Roman"/>
                <w:szCs w:val="22"/>
              </w:rPr>
            </w:pPr>
            <w:r>
              <w:rPr>
                <w:rFonts w:cs="Times New Roman"/>
                <w:b w:val="0"/>
                <w:szCs w:val="22"/>
              </w:rPr>
              <w:t>Other Accounts</w:t>
            </w:r>
          </w:p>
        </w:tc>
        <w:tc>
          <w:tcPr>
            <w:tcW w:w="1772" w:type="pct"/>
            <w:tcBorders>
              <w:top w:val="nil"/>
              <w:left w:val="single" w:sz="4" w:space="0" w:color="FFFFFF" w:themeColor="background1"/>
              <w:bottom w:val="single" w:sz="2" w:space="0" w:color="106CB5"/>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$0</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228" w:type="pct"/>
            <w:tcBorders>
              <w:top w:val="single" w:sz="2" w:space="0" w:color="106CB5"/>
              <w:bottom w:val="single" w:sz="2" w:space="0" w:color="106CB5"/>
            </w:tcBorders>
            <w:noWrap/>
            <w:vAlign w:val="center"/>
            <w:hideMark/>
          </w:tcPr>
          <w:p w:rsidR="00F33684" w:rsidRDefault="00E32BE3">
            <w:pPr>
              <w:spacing w:before="40" w:after="40"/>
              <w:rPr>
                <w:rFonts w:cs="Times New Roman"/>
                <w:szCs w:val="22"/>
              </w:rPr>
            </w:pPr>
            <w:r>
              <w:rPr>
                <w:rFonts w:cs="Times New Roman"/>
                <w:szCs w:val="22"/>
              </w:rPr>
              <w:t>Total Funds Available</w:t>
            </w:r>
          </w:p>
        </w:tc>
        <w:tc>
          <w:tcPr>
            <w:tcW w:w="1772" w:type="pct"/>
            <w:tcBorders>
              <w:top w:val="single" w:sz="2" w:space="0" w:color="106CB5"/>
              <w:bottom w:val="single" w:sz="2" w:space="0" w:color="106CB5"/>
            </w:tcBorders>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$242,888</w:t>
            </w:r>
          </w:p>
        </w:tc>
      </w:tr>
    </w:tbl>
    <w:p w:rsidR="00F33684" w:rsidRDefault="00E32BE3">
      <w:r>
        <w:br w:type="page"/>
      </w:r>
    </w:p>
    <w:p w:rsidR="00F33684" w:rsidRDefault="00E32BE3">
      <w:pPr>
        <w:pStyle w:val="ESBodyText"/>
      </w:pPr>
    </w:p>
    <w:tbl>
      <w:tblPr>
        <w:tblStyle w:val="GridTable2-Accent612"/>
        <w:tblW w:w="2876" w:type="pct"/>
        <w:jc w:val="center"/>
        <w:tblLook w:val="04A0" w:firstRow="1" w:lastRow="0" w:firstColumn="1" w:lastColumn="0" w:noHBand="0" w:noVBand="1"/>
        <w:tblCaption w:val="Financial Commitments"/>
      </w:tblPr>
      <w:tblGrid>
        <w:gridCol w:w="4584"/>
        <w:gridCol w:w="1609"/>
      </w:tblGrid>
      <w:tr w:rsidR="00C440C6" w:rsidTr="00C440C6">
        <w:trPr>
          <w:cnfStyle w:val="100000000000" w:firstRow="1" w:lastRow="0" w:firstColumn="0" w:lastColumn="0" w:oddVBand="0" w:evenVBand="0" w:oddHBand="0" w:evenHBand="0" w:firstRowFirstColumn="0" w:firstRowLastColumn="0" w:lastRowFirstColumn="0" w:lastRowLastColumn="0"/>
          <w:trHeight w:hRule="exact" w:val="454"/>
          <w:tblHeader/>
          <w:jc w:val="center"/>
        </w:trPr>
        <w:tc>
          <w:tcPr>
            <w:cnfStyle w:val="001000000000" w:firstRow="0" w:lastRow="0" w:firstColumn="1" w:lastColumn="0" w:oddVBand="0" w:evenVBand="0" w:oddHBand="0" w:evenHBand="0" w:firstRowFirstColumn="0" w:firstRowLastColumn="0" w:lastRowFirstColumn="0" w:lastRowLastColumn="0"/>
            <w:tcW w:w="3701" w:type="pct"/>
            <w:tcBorders>
              <w:bottom w:val="nil"/>
            </w:tcBorders>
            <w:shd w:val="clear" w:color="auto" w:fill="106CB5"/>
            <w:vAlign w:val="center"/>
            <w:hideMark/>
          </w:tcPr>
          <w:p w:rsidR="00F33684" w:rsidRDefault="00E32BE3">
            <w:pPr>
              <w:spacing w:before="40" w:after="40"/>
              <w:rPr>
                <w:rFonts w:cs="Times New Roman"/>
                <w:color w:val="FFFFFF"/>
                <w:szCs w:val="22"/>
              </w:rPr>
            </w:pPr>
            <w:r>
              <w:rPr>
                <w:rFonts w:cs="Times New Roman"/>
                <w:b w:val="0"/>
                <w:color w:val="FFFFFF"/>
                <w:szCs w:val="22"/>
              </w:rPr>
              <w:t>Financial Commitments</w:t>
            </w:r>
          </w:p>
        </w:tc>
        <w:tc>
          <w:tcPr>
            <w:tcW w:w="1299" w:type="pct"/>
            <w:tcBorders>
              <w:bottom w:val="nil"/>
            </w:tcBorders>
            <w:shd w:val="clear" w:color="auto" w:fill="106CB5"/>
            <w:vAlign w:val="center"/>
            <w:hideMark/>
          </w:tcPr>
          <w:p w:rsidR="00F33684" w:rsidRDefault="00E32BE3">
            <w:pPr>
              <w:spacing w:before="40" w:after="40"/>
              <w:jc w:val="right"/>
              <w:cnfStyle w:val="100000000000" w:firstRow="1" w:lastRow="0" w:firstColumn="0" w:lastColumn="0" w:oddVBand="0" w:evenVBand="0" w:oddHBand="0" w:evenHBand="0" w:firstRowFirstColumn="0" w:firstRowLastColumn="0" w:lastRowFirstColumn="0" w:lastRowLastColumn="0"/>
              <w:rPr>
                <w:rFonts w:cs="Times New Roman"/>
                <w:color w:val="FFFFFF"/>
                <w:szCs w:val="22"/>
              </w:rPr>
            </w:pPr>
            <w:r>
              <w:rPr>
                <w:rFonts w:cs="Times New Roman"/>
                <w:b w:val="0"/>
                <w:color w:val="FFFFFF"/>
                <w:szCs w:val="22"/>
              </w:rPr>
              <w:t>Actual</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701" w:type="pct"/>
            <w:tcBorders>
              <w:top w:val="nil"/>
              <w:bottom w:val="nil"/>
              <w:right w:val="single" w:sz="4" w:space="0" w:color="FFFFFF" w:themeColor="background1"/>
            </w:tcBorders>
            <w:shd w:val="clear" w:color="auto" w:fill="D9D9D9"/>
            <w:noWrap/>
            <w:vAlign w:val="center"/>
            <w:hideMark/>
          </w:tcPr>
          <w:p w:rsidR="00F33684" w:rsidRDefault="00E32BE3">
            <w:pPr>
              <w:spacing w:before="40" w:after="40"/>
              <w:rPr>
                <w:rFonts w:cs="Times New Roman"/>
                <w:szCs w:val="22"/>
              </w:rPr>
            </w:pPr>
            <w:r>
              <w:rPr>
                <w:rFonts w:cs="Times New Roman"/>
                <w:b w:val="0"/>
                <w:szCs w:val="22"/>
              </w:rPr>
              <w:t>Operating Reserve</w:t>
            </w:r>
          </w:p>
        </w:tc>
        <w:tc>
          <w:tcPr>
            <w:tcW w:w="1299" w:type="pct"/>
            <w:tcBorders>
              <w:top w:val="nil"/>
              <w:left w:val="single" w:sz="4" w:space="0" w:color="FFFFFF" w:themeColor="background1"/>
              <w:bottom w:val="nil"/>
            </w:tcBorders>
            <w:shd w:val="clear" w:color="auto" w:fill="D9D9D9"/>
            <w:noWrap/>
            <w:vAlign w:val="center"/>
          </w:tcPr>
          <w:p w:rsidR="00F33684" w:rsidRDefault="00E32BE3">
            <w:pPr>
              <w:jc w:val="right"/>
              <w:cnfStyle w:val="000000100000" w:firstRow="0" w:lastRow="0" w:firstColumn="0" w:lastColumn="0" w:oddVBand="0" w:evenVBand="0" w:oddHBand="1" w:evenHBand="0" w:firstRowFirstColumn="0" w:firstRowLastColumn="0" w:lastRowFirstColumn="0" w:lastRowLastColumn="0"/>
            </w:pPr>
            <w:r>
              <w:t>$53,577</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701" w:type="pct"/>
            <w:tcBorders>
              <w:top w:val="nil"/>
              <w:bottom w:val="nil"/>
              <w:right w:val="single" w:sz="4" w:space="0" w:color="FFFFFF" w:themeColor="background1"/>
            </w:tcBorders>
            <w:noWrap/>
          </w:tcPr>
          <w:p w:rsidR="00574F07" w:rsidRDefault="00E32BE3" w:rsidP="00574F07">
            <w:pPr>
              <w:spacing w:before="40" w:after="40"/>
              <w:rPr>
                <w:rFonts w:cs="Times New Roman"/>
                <w:szCs w:val="22"/>
              </w:rPr>
            </w:pPr>
            <w:r w:rsidRPr="0079002D">
              <w:rPr>
                <w:b w:val="0"/>
                <w:lang w:val="en-US"/>
              </w:rPr>
              <w:t>Other Recurrent Expenditure</w:t>
            </w:r>
          </w:p>
        </w:tc>
        <w:tc>
          <w:tcPr>
            <w:tcW w:w="1299" w:type="pct"/>
            <w:tcBorders>
              <w:top w:val="nil"/>
              <w:left w:val="single" w:sz="4" w:space="0" w:color="FFFFFF" w:themeColor="background1"/>
              <w:bottom w:val="nil"/>
            </w:tcBorders>
            <w:noWrap/>
            <w:vAlign w:val="center"/>
          </w:tcPr>
          <w:p w:rsidR="00574F07" w:rsidRDefault="00E32BE3" w:rsidP="00574F07">
            <w:pPr>
              <w:jc w:val="right"/>
              <w:cnfStyle w:val="000000000000" w:firstRow="0" w:lastRow="0" w:firstColumn="0" w:lastColumn="0" w:oddVBand="0" w:evenVBand="0" w:oddHBand="0" w:evenHBand="0" w:firstRowFirstColumn="0" w:firstRowLastColumn="0" w:lastRowFirstColumn="0" w:lastRowLastColumn="0"/>
            </w:pPr>
            <w:r>
              <w:t>$0</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701" w:type="pct"/>
            <w:tcBorders>
              <w:top w:val="nil"/>
              <w:bottom w:val="nil"/>
              <w:right w:val="single" w:sz="4" w:space="0" w:color="FFFFFF" w:themeColor="background1"/>
            </w:tcBorders>
            <w:shd w:val="clear" w:color="auto" w:fill="D9D9D9"/>
            <w:noWrap/>
          </w:tcPr>
          <w:p w:rsidR="00574F07" w:rsidRDefault="00E32BE3" w:rsidP="00574F07">
            <w:pPr>
              <w:spacing w:before="40" w:after="40"/>
              <w:rPr>
                <w:rFonts w:cs="Times New Roman"/>
                <w:szCs w:val="22"/>
              </w:rPr>
            </w:pPr>
            <w:r w:rsidRPr="0079002D">
              <w:rPr>
                <w:b w:val="0"/>
                <w:lang w:val="en-US"/>
              </w:rPr>
              <w:t>Provision Accounts</w:t>
            </w:r>
          </w:p>
        </w:tc>
        <w:tc>
          <w:tcPr>
            <w:tcW w:w="1299" w:type="pct"/>
            <w:tcBorders>
              <w:top w:val="nil"/>
              <w:left w:val="single" w:sz="4" w:space="0" w:color="FFFFFF" w:themeColor="background1"/>
              <w:bottom w:val="nil"/>
            </w:tcBorders>
            <w:shd w:val="clear" w:color="auto" w:fill="D9D9D9"/>
            <w:noWrap/>
            <w:vAlign w:val="center"/>
          </w:tcPr>
          <w:p w:rsidR="00574F07" w:rsidRDefault="00E32BE3" w:rsidP="00574F07">
            <w:pPr>
              <w:jc w:val="right"/>
              <w:cnfStyle w:val="000000100000" w:firstRow="0" w:lastRow="0" w:firstColumn="0" w:lastColumn="0" w:oddVBand="0" w:evenVBand="0" w:oddHBand="1" w:evenHBand="0" w:firstRowFirstColumn="0" w:firstRowLastColumn="0" w:lastRowFirstColumn="0" w:lastRowLastColumn="0"/>
            </w:pPr>
            <w:r>
              <w:t>$0</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701" w:type="pct"/>
            <w:tcBorders>
              <w:top w:val="nil"/>
              <w:bottom w:val="nil"/>
              <w:right w:val="single" w:sz="4" w:space="0" w:color="FFFFFF" w:themeColor="background1"/>
            </w:tcBorders>
            <w:shd w:val="clear" w:color="auto" w:fill="auto"/>
            <w:noWrap/>
          </w:tcPr>
          <w:p w:rsidR="00574F07" w:rsidRDefault="00E32BE3" w:rsidP="00574F07">
            <w:pPr>
              <w:spacing w:before="40" w:after="40"/>
              <w:rPr>
                <w:rFonts w:cs="Times New Roman"/>
                <w:szCs w:val="22"/>
              </w:rPr>
            </w:pPr>
            <w:r w:rsidRPr="0079002D">
              <w:rPr>
                <w:b w:val="0"/>
                <w:lang w:val="en-US"/>
              </w:rPr>
              <w:t>Funds Received in Advance</w:t>
            </w:r>
          </w:p>
        </w:tc>
        <w:tc>
          <w:tcPr>
            <w:tcW w:w="1299" w:type="pct"/>
            <w:tcBorders>
              <w:top w:val="nil"/>
              <w:left w:val="single" w:sz="4" w:space="0" w:color="FFFFFF" w:themeColor="background1"/>
              <w:bottom w:val="nil"/>
            </w:tcBorders>
            <w:shd w:val="clear" w:color="auto" w:fill="auto"/>
            <w:noWrap/>
            <w:vAlign w:val="center"/>
          </w:tcPr>
          <w:p w:rsidR="00574F07" w:rsidRDefault="00E32BE3" w:rsidP="00574F07">
            <w:pPr>
              <w:jc w:val="right"/>
              <w:cnfStyle w:val="000000000000" w:firstRow="0" w:lastRow="0" w:firstColumn="0" w:lastColumn="0" w:oddVBand="0" w:evenVBand="0" w:oddHBand="0" w:evenHBand="0" w:firstRowFirstColumn="0" w:firstRowLastColumn="0" w:lastRowFirstColumn="0" w:lastRowLastColumn="0"/>
            </w:pPr>
            <w:r>
              <w:t>$0</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701" w:type="pct"/>
            <w:tcBorders>
              <w:top w:val="nil"/>
              <w:bottom w:val="nil"/>
              <w:right w:val="single" w:sz="4" w:space="0" w:color="FFFFFF" w:themeColor="background1"/>
            </w:tcBorders>
            <w:shd w:val="clear" w:color="auto" w:fill="DBD9D6"/>
            <w:noWrap/>
          </w:tcPr>
          <w:p w:rsidR="00574F07" w:rsidRDefault="00E32BE3" w:rsidP="00574F07">
            <w:pPr>
              <w:spacing w:before="40" w:after="40"/>
              <w:rPr>
                <w:rFonts w:cs="Times New Roman"/>
                <w:szCs w:val="22"/>
              </w:rPr>
            </w:pPr>
            <w:r w:rsidRPr="0079002D">
              <w:rPr>
                <w:b w:val="0"/>
                <w:lang w:val="en-US"/>
              </w:rPr>
              <w:t>School Based Programs</w:t>
            </w:r>
          </w:p>
        </w:tc>
        <w:tc>
          <w:tcPr>
            <w:tcW w:w="1299" w:type="pct"/>
            <w:tcBorders>
              <w:top w:val="nil"/>
              <w:left w:val="single" w:sz="4" w:space="0" w:color="FFFFFF" w:themeColor="background1"/>
              <w:bottom w:val="nil"/>
            </w:tcBorders>
            <w:shd w:val="clear" w:color="auto" w:fill="DBD9D6"/>
            <w:noWrap/>
            <w:vAlign w:val="center"/>
          </w:tcPr>
          <w:p w:rsidR="00574F07" w:rsidRDefault="00E32BE3" w:rsidP="00574F07">
            <w:pPr>
              <w:jc w:val="right"/>
              <w:cnfStyle w:val="000000100000" w:firstRow="0" w:lastRow="0" w:firstColumn="0" w:lastColumn="0" w:oddVBand="0" w:evenVBand="0" w:oddHBand="1" w:evenHBand="0" w:firstRowFirstColumn="0" w:firstRowLastColumn="0" w:lastRowFirstColumn="0" w:lastRowLastColumn="0"/>
            </w:pPr>
            <w:r>
              <w:t>$86,500</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701" w:type="pct"/>
            <w:tcBorders>
              <w:top w:val="nil"/>
              <w:bottom w:val="nil"/>
              <w:right w:val="single" w:sz="4" w:space="0" w:color="FFFFFF" w:themeColor="background1"/>
            </w:tcBorders>
            <w:noWrap/>
          </w:tcPr>
          <w:p w:rsidR="00574F07" w:rsidRDefault="00E32BE3" w:rsidP="00574F07">
            <w:pPr>
              <w:spacing w:before="40" w:after="40"/>
              <w:rPr>
                <w:rFonts w:cs="Times New Roman"/>
                <w:szCs w:val="22"/>
              </w:rPr>
            </w:pPr>
            <w:r w:rsidRPr="0079002D">
              <w:rPr>
                <w:b w:val="0"/>
                <w:lang w:val="en-US"/>
              </w:rPr>
              <w:t>Beneficiary/Memorial Accounts</w:t>
            </w:r>
          </w:p>
        </w:tc>
        <w:tc>
          <w:tcPr>
            <w:tcW w:w="1299" w:type="pct"/>
            <w:tcBorders>
              <w:top w:val="nil"/>
              <w:left w:val="single" w:sz="4" w:space="0" w:color="FFFFFF" w:themeColor="background1"/>
              <w:bottom w:val="nil"/>
            </w:tcBorders>
            <w:noWrap/>
            <w:vAlign w:val="center"/>
          </w:tcPr>
          <w:p w:rsidR="00574F07" w:rsidRDefault="00E32BE3" w:rsidP="00574F07">
            <w:pPr>
              <w:jc w:val="right"/>
              <w:cnfStyle w:val="000000000000" w:firstRow="0" w:lastRow="0" w:firstColumn="0" w:lastColumn="0" w:oddVBand="0" w:evenVBand="0" w:oddHBand="0" w:evenHBand="0" w:firstRowFirstColumn="0" w:firstRowLastColumn="0" w:lastRowFirstColumn="0" w:lastRowLastColumn="0"/>
            </w:pPr>
            <w:r>
              <w:t>$0</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701" w:type="pct"/>
            <w:tcBorders>
              <w:top w:val="nil"/>
              <w:bottom w:val="nil"/>
              <w:right w:val="single" w:sz="4" w:space="0" w:color="FFFFFF" w:themeColor="background1"/>
            </w:tcBorders>
            <w:shd w:val="clear" w:color="auto" w:fill="D9D9D9"/>
            <w:noWrap/>
          </w:tcPr>
          <w:p w:rsidR="00574F07" w:rsidRDefault="00E32BE3" w:rsidP="00574F07">
            <w:pPr>
              <w:spacing w:before="40" w:after="40"/>
              <w:rPr>
                <w:rFonts w:cs="Times New Roman"/>
                <w:szCs w:val="22"/>
              </w:rPr>
            </w:pPr>
            <w:r w:rsidRPr="0079002D">
              <w:rPr>
                <w:b w:val="0"/>
                <w:lang w:val="en-US"/>
              </w:rPr>
              <w:t>Cooperative Bank Account</w:t>
            </w:r>
          </w:p>
        </w:tc>
        <w:tc>
          <w:tcPr>
            <w:tcW w:w="1299" w:type="pct"/>
            <w:tcBorders>
              <w:top w:val="nil"/>
              <w:left w:val="single" w:sz="4" w:space="0" w:color="FFFFFF" w:themeColor="background1"/>
              <w:bottom w:val="nil"/>
            </w:tcBorders>
            <w:shd w:val="clear" w:color="auto" w:fill="D9D9D9"/>
            <w:noWrap/>
            <w:vAlign w:val="center"/>
          </w:tcPr>
          <w:p w:rsidR="00574F07" w:rsidRDefault="00E32BE3" w:rsidP="00574F07">
            <w:pPr>
              <w:jc w:val="right"/>
              <w:cnfStyle w:val="000000100000" w:firstRow="0" w:lastRow="0" w:firstColumn="0" w:lastColumn="0" w:oddVBand="0" w:evenVBand="0" w:oddHBand="1" w:evenHBand="0" w:firstRowFirstColumn="0" w:firstRowLastColumn="0" w:lastRowFirstColumn="0" w:lastRowLastColumn="0"/>
            </w:pPr>
            <w:r>
              <w:t>$0</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701" w:type="pct"/>
            <w:tcBorders>
              <w:top w:val="nil"/>
              <w:bottom w:val="nil"/>
              <w:right w:val="single" w:sz="4" w:space="0" w:color="FFFFFF" w:themeColor="background1"/>
            </w:tcBorders>
            <w:noWrap/>
          </w:tcPr>
          <w:p w:rsidR="00574F07" w:rsidRDefault="00E32BE3" w:rsidP="00574F07">
            <w:pPr>
              <w:spacing w:before="40" w:after="40"/>
              <w:rPr>
                <w:rFonts w:cs="Times New Roman"/>
                <w:szCs w:val="22"/>
              </w:rPr>
            </w:pPr>
            <w:r w:rsidRPr="0079002D">
              <w:rPr>
                <w:b w:val="0"/>
                <w:lang w:val="en-US"/>
              </w:rPr>
              <w:t>Funds for Committees/Shared Arrangements</w:t>
            </w:r>
          </w:p>
        </w:tc>
        <w:tc>
          <w:tcPr>
            <w:tcW w:w="1299" w:type="pct"/>
            <w:tcBorders>
              <w:top w:val="nil"/>
              <w:left w:val="single" w:sz="4" w:space="0" w:color="FFFFFF" w:themeColor="background1"/>
              <w:bottom w:val="nil"/>
            </w:tcBorders>
            <w:noWrap/>
            <w:vAlign w:val="center"/>
          </w:tcPr>
          <w:p w:rsidR="00574F07" w:rsidRDefault="00E32BE3" w:rsidP="00574F07">
            <w:pPr>
              <w:jc w:val="right"/>
              <w:cnfStyle w:val="000000000000" w:firstRow="0" w:lastRow="0" w:firstColumn="0" w:lastColumn="0" w:oddVBand="0" w:evenVBand="0" w:oddHBand="0" w:evenHBand="0" w:firstRowFirstColumn="0" w:firstRowLastColumn="0" w:lastRowFirstColumn="0" w:lastRowLastColumn="0"/>
            </w:pPr>
            <w:r>
              <w:t>$0</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701" w:type="pct"/>
            <w:tcBorders>
              <w:top w:val="nil"/>
              <w:bottom w:val="nil"/>
              <w:right w:val="single" w:sz="4" w:space="0" w:color="FFFFFF" w:themeColor="background1"/>
            </w:tcBorders>
            <w:shd w:val="clear" w:color="auto" w:fill="D9D9D9"/>
            <w:noWrap/>
          </w:tcPr>
          <w:p w:rsidR="00574F07" w:rsidRDefault="00E32BE3" w:rsidP="00574F07">
            <w:pPr>
              <w:spacing w:before="40" w:after="40"/>
              <w:rPr>
                <w:rFonts w:cs="Times New Roman"/>
                <w:szCs w:val="22"/>
              </w:rPr>
            </w:pPr>
            <w:r w:rsidRPr="0079002D">
              <w:rPr>
                <w:b w:val="0"/>
                <w:lang w:val="en-US"/>
              </w:rPr>
              <w:t>Repayable to the Department</w:t>
            </w:r>
          </w:p>
        </w:tc>
        <w:tc>
          <w:tcPr>
            <w:tcW w:w="1299" w:type="pct"/>
            <w:tcBorders>
              <w:top w:val="nil"/>
              <w:left w:val="single" w:sz="4" w:space="0" w:color="FFFFFF" w:themeColor="background1"/>
              <w:bottom w:val="nil"/>
            </w:tcBorders>
            <w:shd w:val="clear" w:color="auto" w:fill="D9D9D9"/>
            <w:noWrap/>
            <w:vAlign w:val="center"/>
          </w:tcPr>
          <w:p w:rsidR="00574F07" w:rsidRDefault="00E32BE3" w:rsidP="00574F07">
            <w:pPr>
              <w:jc w:val="right"/>
              <w:cnfStyle w:val="000000100000" w:firstRow="0" w:lastRow="0" w:firstColumn="0" w:lastColumn="0" w:oddVBand="0" w:evenVBand="0" w:oddHBand="1" w:evenHBand="0" w:firstRowFirstColumn="0" w:firstRowLastColumn="0" w:lastRowFirstColumn="0" w:lastRowLastColumn="0"/>
            </w:pPr>
            <w:r>
              <w:t>$0</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701" w:type="pct"/>
            <w:tcBorders>
              <w:top w:val="nil"/>
              <w:bottom w:val="nil"/>
              <w:right w:val="single" w:sz="4" w:space="0" w:color="FFFFFF" w:themeColor="background1"/>
            </w:tcBorders>
            <w:noWrap/>
          </w:tcPr>
          <w:p w:rsidR="00574F07" w:rsidRDefault="00E32BE3" w:rsidP="00574F07">
            <w:pPr>
              <w:spacing w:before="40" w:after="40"/>
              <w:rPr>
                <w:rFonts w:cs="Times New Roman"/>
                <w:szCs w:val="22"/>
              </w:rPr>
            </w:pPr>
            <w:r w:rsidRPr="0079002D">
              <w:rPr>
                <w:b w:val="0"/>
                <w:lang w:val="en-US"/>
              </w:rPr>
              <w:t>Asset/Equipment Replacement &lt; 12 months</w:t>
            </w:r>
          </w:p>
        </w:tc>
        <w:tc>
          <w:tcPr>
            <w:tcW w:w="1299" w:type="pct"/>
            <w:tcBorders>
              <w:top w:val="nil"/>
              <w:left w:val="single" w:sz="4" w:space="0" w:color="FFFFFF" w:themeColor="background1"/>
              <w:bottom w:val="nil"/>
            </w:tcBorders>
            <w:noWrap/>
            <w:vAlign w:val="center"/>
          </w:tcPr>
          <w:p w:rsidR="00574F07" w:rsidRDefault="00E32BE3" w:rsidP="00574F07">
            <w:pPr>
              <w:jc w:val="right"/>
              <w:cnfStyle w:val="000000000000" w:firstRow="0" w:lastRow="0" w:firstColumn="0" w:lastColumn="0" w:oddVBand="0" w:evenVBand="0" w:oddHBand="0" w:evenHBand="0" w:firstRowFirstColumn="0" w:firstRowLastColumn="0" w:lastRowFirstColumn="0" w:lastRowLastColumn="0"/>
            </w:pPr>
            <w:r>
              <w:t>$39,000</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701" w:type="pct"/>
            <w:tcBorders>
              <w:top w:val="nil"/>
              <w:bottom w:val="nil"/>
              <w:right w:val="single" w:sz="4" w:space="0" w:color="FFFFFF" w:themeColor="background1"/>
            </w:tcBorders>
            <w:shd w:val="clear" w:color="auto" w:fill="D9D9D9"/>
            <w:noWrap/>
          </w:tcPr>
          <w:p w:rsidR="00574F07" w:rsidRDefault="00E32BE3" w:rsidP="00574F07">
            <w:pPr>
              <w:spacing w:before="40" w:after="40"/>
              <w:rPr>
                <w:rFonts w:cs="Times New Roman"/>
                <w:szCs w:val="22"/>
              </w:rPr>
            </w:pPr>
            <w:r w:rsidRPr="0079002D">
              <w:rPr>
                <w:b w:val="0"/>
                <w:lang w:val="en-US"/>
              </w:rPr>
              <w:t>Capital - Buildings/Grounds &lt; 12 months</w:t>
            </w:r>
          </w:p>
        </w:tc>
        <w:tc>
          <w:tcPr>
            <w:tcW w:w="1299" w:type="pct"/>
            <w:tcBorders>
              <w:top w:val="nil"/>
              <w:left w:val="single" w:sz="4" w:space="0" w:color="FFFFFF" w:themeColor="background1"/>
              <w:bottom w:val="nil"/>
            </w:tcBorders>
            <w:shd w:val="clear" w:color="auto" w:fill="D9D9D9"/>
            <w:noWrap/>
            <w:vAlign w:val="center"/>
          </w:tcPr>
          <w:p w:rsidR="00574F07" w:rsidRDefault="00E32BE3" w:rsidP="00574F07">
            <w:pPr>
              <w:jc w:val="right"/>
              <w:cnfStyle w:val="000000100000" w:firstRow="0" w:lastRow="0" w:firstColumn="0" w:lastColumn="0" w:oddVBand="0" w:evenVBand="0" w:oddHBand="1" w:evenHBand="0" w:firstRowFirstColumn="0" w:firstRowLastColumn="0" w:lastRowFirstColumn="0" w:lastRowLastColumn="0"/>
            </w:pPr>
            <w:r>
              <w:t>$0</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701" w:type="pct"/>
            <w:tcBorders>
              <w:top w:val="nil"/>
              <w:bottom w:val="nil"/>
              <w:right w:val="single" w:sz="4" w:space="0" w:color="FFFFFF" w:themeColor="background1"/>
            </w:tcBorders>
            <w:noWrap/>
          </w:tcPr>
          <w:p w:rsidR="00574F07" w:rsidRDefault="00E32BE3" w:rsidP="00574F07">
            <w:pPr>
              <w:spacing w:before="40" w:after="40"/>
              <w:rPr>
                <w:rFonts w:cs="Times New Roman"/>
                <w:szCs w:val="22"/>
              </w:rPr>
            </w:pPr>
            <w:r w:rsidRPr="0079002D">
              <w:rPr>
                <w:b w:val="0"/>
                <w:lang w:val="en-US"/>
              </w:rPr>
              <w:t xml:space="preserve">Maintenance - </w:t>
            </w:r>
            <w:r w:rsidRPr="0079002D">
              <w:rPr>
                <w:b w:val="0"/>
                <w:lang w:val="en-US"/>
              </w:rPr>
              <w:t>Buildings/Grounds &lt; 12 months</w:t>
            </w:r>
          </w:p>
        </w:tc>
        <w:tc>
          <w:tcPr>
            <w:tcW w:w="1299" w:type="pct"/>
            <w:tcBorders>
              <w:top w:val="nil"/>
              <w:left w:val="single" w:sz="4" w:space="0" w:color="FFFFFF" w:themeColor="background1"/>
              <w:bottom w:val="nil"/>
            </w:tcBorders>
            <w:noWrap/>
            <w:vAlign w:val="center"/>
          </w:tcPr>
          <w:p w:rsidR="00574F07" w:rsidRDefault="00E32BE3" w:rsidP="00574F07">
            <w:pPr>
              <w:jc w:val="right"/>
              <w:cnfStyle w:val="000000000000" w:firstRow="0" w:lastRow="0" w:firstColumn="0" w:lastColumn="0" w:oddVBand="0" w:evenVBand="0" w:oddHBand="0" w:evenHBand="0" w:firstRowFirstColumn="0" w:firstRowLastColumn="0" w:lastRowFirstColumn="0" w:lastRowLastColumn="0"/>
            </w:pPr>
            <w:r>
              <w:t>$82,124</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701" w:type="pct"/>
            <w:tcBorders>
              <w:top w:val="nil"/>
              <w:bottom w:val="nil"/>
              <w:right w:val="single" w:sz="4" w:space="0" w:color="FFFFFF" w:themeColor="background1"/>
            </w:tcBorders>
            <w:shd w:val="clear" w:color="auto" w:fill="D9D9D9"/>
            <w:noWrap/>
          </w:tcPr>
          <w:p w:rsidR="00574F07" w:rsidRDefault="00E32BE3" w:rsidP="00574F07">
            <w:pPr>
              <w:spacing w:before="40" w:after="40"/>
              <w:rPr>
                <w:rFonts w:cs="Times New Roman"/>
                <w:szCs w:val="22"/>
              </w:rPr>
            </w:pPr>
            <w:r w:rsidRPr="0079002D">
              <w:rPr>
                <w:b w:val="0"/>
                <w:lang w:val="en-US"/>
              </w:rPr>
              <w:t>Asset/Equipment Replacement &gt; 12 months</w:t>
            </w:r>
          </w:p>
        </w:tc>
        <w:tc>
          <w:tcPr>
            <w:tcW w:w="1299" w:type="pct"/>
            <w:tcBorders>
              <w:top w:val="nil"/>
              <w:left w:val="single" w:sz="4" w:space="0" w:color="FFFFFF" w:themeColor="background1"/>
              <w:bottom w:val="nil"/>
            </w:tcBorders>
            <w:shd w:val="clear" w:color="auto" w:fill="D9D9D9"/>
            <w:noWrap/>
            <w:vAlign w:val="center"/>
          </w:tcPr>
          <w:p w:rsidR="00574F07" w:rsidRDefault="00E32BE3" w:rsidP="00574F07">
            <w:pPr>
              <w:jc w:val="right"/>
              <w:cnfStyle w:val="000000100000" w:firstRow="0" w:lastRow="0" w:firstColumn="0" w:lastColumn="0" w:oddVBand="0" w:evenVBand="0" w:oddHBand="1" w:evenHBand="0" w:firstRowFirstColumn="0" w:firstRowLastColumn="0" w:lastRowFirstColumn="0" w:lastRowLastColumn="0"/>
            </w:pPr>
            <w:r>
              <w:t>$0</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701" w:type="pct"/>
            <w:tcBorders>
              <w:top w:val="nil"/>
              <w:bottom w:val="nil"/>
              <w:right w:val="single" w:sz="4" w:space="0" w:color="FFFFFF" w:themeColor="background1"/>
            </w:tcBorders>
            <w:shd w:val="clear" w:color="auto" w:fill="auto"/>
            <w:noWrap/>
          </w:tcPr>
          <w:p w:rsidR="00574F07" w:rsidRDefault="00E32BE3" w:rsidP="00574F07">
            <w:pPr>
              <w:spacing w:before="40" w:after="40"/>
              <w:rPr>
                <w:rFonts w:cs="Times New Roman"/>
                <w:szCs w:val="22"/>
              </w:rPr>
            </w:pPr>
            <w:r w:rsidRPr="0079002D">
              <w:rPr>
                <w:b w:val="0"/>
                <w:lang w:val="en-US"/>
              </w:rPr>
              <w:t>Capital - Buildings/Grounds &gt; 12 months</w:t>
            </w:r>
          </w:p>
        </w:tc>
        <w:tc>
          <w:tcPr>
            <w:tcW w:w="1299" w:type="pct"/>
            <w:tcBorders>
              <w:top w:val="nil"/>
              <w:left w:val="single" w:sz="4" w:space="0" w:color="FFFFFF" w:themeColor="background1"/>
              <w:bottom w:val="nil"/>
            </w:tcBorders>
            <w:shd w:val="clear" w:color="auto" w:fill="auto"/>
            <w:noWrap/>
            <w:vAlign w:val="center"/>
          </w:tcPr>
          <w:p w:rsidR="00574F07" w:rsidRDefault="00E32BE3" w:rsidP="00574F07">
            <w:pPr>
              <w:jc w:val="right"/>
              <w:cnfStyle w:val="000000000000" w:firstRow="0" w:lastRow="0" w:firstColumn="0" w:lastColumn="0" w:oddVBand="0" w:evenVBand="0" w:oddHBand="0" w:evenHBand="0" w:firstRowFirstColumn="0" w:firstRowLastColumn="0" w:lastRowFirstColumn="0" w:lastRowLastColumn="0"/>
            </w:pPr>
            <w:r>
              <w:t>$0</w:t>
            </w:r>
          </w:p>
        </w:tc>
      </w:tr>
      <w:tr w:rsidR="00C440C6" w:rsidTr="00C440C6">
        <w:trPr>
          <w:cnfStyle w:val="000000100000" w:firstRow="0" w:lastRow="0" w:firstColumn="0" w:lastColumn="0" w:oddVBand="0" w:evenVBand="0" w:oddHBand="1" w:evenHBand="0" w:firstRowFirstColumn="0" w:firstRowLastColumn="0" w:lastRowFirstColumn="0" w:lastRowLastColumn="0"/>
          <w:trHeight w:hRule="exact" w:val="284"/>
          <w:jc w:val="center"/>
        </w:trPr>
        <w:tc>
          <w:tcPr>
            <w:cnfStyle w:val="001000000000" w:firstRow="0" w:lastRow="0" w:firstColumn="1" w:lastColumn="0" w:oddVBand="0" w:evenVBand="0" w:oddHBand="0" w:evenHBand="0" w:firstRowFirstColumn="0" w:firstRowLastColumn="0" w:lastRowFirstColumn="0" w:lastRowLastColumn="0"/>
            <w:tcW w:w="3701" w:type="pct"/>
            <w:tcBorders>
              <w:top w:val="nil"/>
              <w:bottom w:val="nil"/>
              <w:right w:val="single" w:sz="4" w:space="0" w:color="FFFFFF" w:themeColor="background1"/>
            </w:tcBorders>
            <w:shd w:val="clear" w:color="auto" w:fill="D9D9D9"/>
            <w:noWrap/>
          </w:tcPr>
          <w:p w:rsidR="00574F07" w:rsidRDefault="00E32BE3" w:rsidP="00574F07">
            <w:pPr>
              <w:spacing w:before="40" w:after="40"/>
              <w:rPr>
                <w:rFonts w:cs="Times New Roman"/>
                <w:szCs w:val="22"/>
              </w:rPr>
            </w:pPr>
            <w:r w:rsidRPr="0079002D">
              <w:rPr>
                <w:b w:val="0"/>
                <w:lang w:val="en-US"/>
              </w:rPr>
              <w:t>Maintenance - Buildings/Grounds &gt; 12 months</w:t>
            </w:r>
          </w:p>
        </w:tc>
        <w:tc>
          <w:tcPr>
            <w:tcW w:w="1299" w:type="pct"/>
            <w:tcBorders>
              <w:top w:val="nil"/>
              <w:left w:val="single" w:sz="4" w:space="0" w:color="FFFFFF" w:themeColor="background1"/>
              <w:bottom w:val="nil"/>
            </w:tcBorders>
            <w:shd w:val="clear" w:color="auto" w:fill="D9D9D9"/>
            <w:noWrap/>
            <w:vAlign w:val="center"/>
          </w:tcPr>
          <w:p w:rsidR="00574F07" w:rsidRDefault="00E32BE3" w:rsidP="00574F07">
            <w:pPr>
              <w:jc w:val="right"/>
              <w:cnfStyle w:val="000000100000" w:firstRow="0" w:lastRow="0" w:firstColumn="0" w:lastColumn="0" w:oddVBand="0" w:evenVBand="0" w:oddHBand="1" w:evenHBand="0" w:firstRowFirstColumn="0" w:firstRowLastColumn="0" w:lastRowFirstColumn="0" w:lastRowLastColumn="0"/>
            </w:pPr>
            <w:r>
              <w:t>$0</w:t>
            </w:r>
          </w:p>
        </w:tc>
      </w:tr>
      <w:tr w:rsidR="00C440C6" w:rsidTr="00C440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3701" w:type="pct"/>
            <w:tcBorders>
              <w:top w:val="single" w:sz="2" w:space="0" w:color="106CB5"/>
              <w:bottom w:val="single" w:sz="2" w:space="0" w:color="106CB5"/>
            </w:tcBorders>
            <w:noWrap/>
            <w:vAlign w:val="center"/>
            <w:hideMark/>
          </w:tcPr>
          <w:p w:rsidR="00F33684" w:rsidRDefault="00E32BE3">
            <w:pPr>
              <w:spacing w:before="40" w:after="40"/>
              <w:rPr>
                <w:rFonts w:cs="Times New Roman"/>
                <w:szCs w:val="22"/>
              </w:rPr>
            </w:pPr>
            <w:r>
              <w:rPr>
                <w:rFonts w:cs="Times New Roman"/>
                <w:szCs w:val="22"/>
              </w:rPr>
              <w:t>Total Financial Commitments</w:t>
            </w:r>
          </w:p>
        </w:tc>
        <w:tc>
          <w:tcPr>
            <w:tcW w:w="1299" w:type="pct"/>
            <w:tcBorders>
              <w:top w:val="single" w:sz="2" w:space="0" w:color="106CB5"/>
              <w:bottom w:val="single" w:sz="2" w:space="0" w:color="106CB5"/>
            </w:tcBorders>
            <w:noWrap/>
            <w:vAlign w:val="center"/>
          </w:tcPr>
          <w:p w:rsidR="00F33684" w:rsidRDefault="00E32BE3">
            <w:pPr>
              <w:jc w:val="right"/>
              <w:cnfStyle w:val="000000000000" w:firstRow="0" w:lastRow="0" w:firstColumn="0" w:lastColumn="0" w:oddVBand="0" w:evenVBand="0" w:oddHBand="0" w:evenHBand="0" w:firstRowFirstColumn="0" w:firstRowLastColumn="0" w:lastRowFirstColumn="0" w:lastRowLastColumn="0"/>
            </w:pPr>
            <w:r>
              <w:t>$261,201</w:t>
            </w:r>
          </w:p>
        </w:tc>
      </w:tr>
    </w:tbl>
    <w:p w:rsidR="00F33684" w:rsidRDefault="00E32BE3">
      <w:pPr>
        <w:pStyle w:val="ESBodyText"/>
      </w:pPr>
    </w:p>
    <w:p w:rsidR="00F33684" w:rsidRDefault="00E32BE3">
      <w:pPr>
        <w:pStyle w:val="ESBodyText"/>
      </w:pPr>
    </w:p>
    <w:p w:rsidR="00F33684" w:rsidRDefault="00E32BE3">
      <w:pPr>
        <w:pStyle w:val="ListParagraph"/>
        <w:numPr>
          <w:ilvl w:val="0"/>
          <w:numId w:val="28"/>
        </w:numPr>
        <w:rPr>
          <w:rFonts w:eastAsia="MS Mincho"/>
        </w:rPr>
      </w:pPr>
      <w:r>
        <w:rPr>
          <w:rFonts w:eastAsia="MS Mincho"/>
        </w:rPr>
        <w:t xml:space="preserve">The equity funding reported above is a </w:t>
      </w:r>
      <w:r>
        <w:rPr>
          <w:rFonts w:eastAsia="MS Mincho"/>
        </w:rPr>
        <w:t>subset of the overall revenue reported by the school.</w:t>
      </w:r>
    </w:p>
    <w:p w:rsidR="00F33684" w:rsidRDefault="00E32BE3">
      <w:pPr>
        <w:pStyle w:val="ESBodyText"/>
        <w:numPr>
          <w:ilvl w:val="0"/>
          <w:numId w:val="28"/>
        </w:numPr>
      </w:pPr>
      <w:r>
        <w:t>Student Resource Package Expenditure figures are as of 26 Feb 2020 and are subject to change during the reconciliation process.</w:t>
      </w:r>
    </w:p>
    <w:p w:rsidR="00F33684" w:rsidRDefault="00E32BE3">
      <w:pPr>
        <w:pStyle w:val="ESBodyText"/>
        <w:numPr>
          <w:ilvl w:val="0"/>
          <w:numId w:val="28"/>
        </w:numPr>
      </w:pPr>
      <w:r>
        <w:t>Misc Expenses may include bank charges, health and personal development, a</w:t>
      </w:r>
      <w:r>
        <w:t xml:space="preserve">dministration charges, camp/excursion costs and taxation charges. </w:t>
      </w:r>
    </w:p>
    <w:p w:rsidR="00F33684" w:rsidRDefault="00E32BE3">
      <w:pPr>
        <w:pStyle w:val="ESBodyText"/>
        <w:numPr>
          <w:ilvl w:val="0"/>
          <w:numId w:val="28"/>
        </w:numPr>
      </w:pPr>
      <w:r>
        <w:t>Salaries and Allowances refers to school-level payroll.</w:t>
      </w:r>
    </w:p>
    <w:p w:rsidR="00F33684" w:rsidRDefault="00E32BE3">
      <w:pPr>
        <w:pStyle w:val="ESBodyText"/>
        <w:rPr>
          <w:i/>
        </w:rPr>
      </w:pPr>
      <w:r>
        <w:rPr>
          <w:i/>
        </w:rPr>
        <w:t>All funds received from the Department, or raised by the school, have been expended, or committed to subsequent years, to support the</w:t>
      </w:r>
      <w:r>
        <w:rPr>
          <w:i/>
        </w:rPr>
        <w:t xml:space="preserve"> achievement of educational outcomes and other operational needs of the school, consistent with Department policies, School Council approvals and the intent/purposes for which funding was provided or raised.</w:t>
      </w:r>
    </w:p>
    <w:p w:rsidR="00F33684" w:rsidRDefault="00E32BE3">
      <w:pPr>
        <w:pStyle w:val="ESHeading1"/>
        <w:spacing w:after="0" w:line="240" w:lineRule="auto"/>
        <w:rPr>
          <w:rFonts w:eastAsia="MS Gothic" w:cs="Times New Roman"/>
          <w:b w:val="0"/>
          <w:color w:val="auto"/>
          <w:sz w:val="18"/>
          <w:szCs w:val="18"/>
        </w:rPr>
      </w:pPr>
      <w:r>
        <w:rPr>
          <w:rFonts w:eastAsia="MS Gothic" w:cs="Times New Roman"/>
          <w:b w:val="0"/>
          <w:color w:val="auto"/>
          <w:sz w:val="18"/>
          <w:szCs w:val="18"/>
        </w:rPr>
        <w:br w:type="page"/>
      </w:r>
    </w:p>
    <w:p w:rsidR="00F33684" w:rsidRDefault="00E32BE3">
      <w:pPr>
        <w:pStyle w:val="ESHeading1"/>
        <w:jc w:val="center"/>
        <w:rPr>
          <w:rFonts w:eastAsia="MS Gothic" w:cs="Times New Roman"/>
          <w:color w:val="auto"/>
        </w:rPr>
      </w:pPr>
      <w:r>
        <w:rPr>
          <w:rFonts w:eastAsia="MS Gothic" w:cs="Times New Roman"/>
          <w:color w:val="auto"/>
        </w:rPr>
        <w:lastRenderedPageBreak/>
        <w:t>How to read the Annual Report</w:t>
      </w:r>
    </w:p>
    <w:p w:rsidR="00F33684" w:rsidRDefault="00E32BE3">
      <w:pPr>
        <w:rPr>
          <w:rFonts w:eastAsia="MS Gothic" w:cs="Times New Roman"/>
          <w:bCs/>
          <w:caps/>
          <w:sz w:val="20"/>
          <w:szCs w:val="20"/>
        </w:rPr>
      </w:pPr>
    </w:p>
    <w:p w:rsidR="00F33684" w:rsidRDefault="00E32BE3">
      <w:pPr>
        <w:rPr>
          <w:rFonts w:eastAsia="MS Gothic" w:cs="Times New Roman"/>
          <w:b/>
          <w:bCs/>
          <w:caps/>
          <w:color w:val="00008B"/>
          <w:sz w:val="20"/>
          <w:szCs w:val="20"/>
          <w:u w:val="single"/>
        </w:rPr>
      </w:pPr>
      <w:r>
        <w:rPr>
          <w:rFonts w:eastAsia="MS Gothic" w:cs="Times New Roman"/>
          <w:b/>
          <w:bCs/>
          <w:caps/>
          <w:color w:val="00008B"/>
          <w:sz w:val="20"/>
          <w:szCs w:val="20"/>
          <w:u w:val="single"/>
        </w:rPr>
        <w:t xml:space="preserve">What does the </w:t>
      </w:r>
      <w:r w:rsidRPr="00043675">
        <w:rPr>
          <w:rFonts w:eastAsia="MS Gothic" w:cs="Times New Roman"/>
          <w:b/>
          <w:bCs/>
          <w:i/>
          <w:caps/>
          <w:color w:val="00008B"/>
          <w:sz w:val="20"/>
          <w:szCs w:val="20"/>
          <w:u w:val="single"/>
        </w:rPr>
        <w:t>About Our School</w:t>
      </w:r>
      <w:r>
        <w:rPr>
          <w:rFonts w:eastAsia="MS Gothic" w:cs="Times New Roman"/>
          <w:b/>
          <w:bCs/>
          <w:caps/>
          <w:color w:val="00008B"/>
          <w:sz w:val="20"/>
          <w:szCs w:val="20"/>
          <w:u w:val="single"/>
        </w:rPr>
        <w:t xml:space="preserve"> section refer to?</w:t>
      </w:r>
    </w:p>
    <w:p w:rsidR="00F33684" w:rsidRDefault="00E32BE3">
      <w:pPr>
        <w:ind w:right="113"/>
      </w:pPr>
      <w:r>
        <w:t>The About Our School page provides a brief background on the school, an outline of the school’s performance over the year and plans for the future.</w:t>
      </w:r>
    </w:p>
    <w:p w:rsidR="00F33684" w:rsidRDefault="00E32BE3">
      <w:pPr>
        <w:ind w:right="113"/>
      </w:pPr>
    </w:p>
    <w:p w:rsidR="00F33684" w:rsidRDefault="00E32BE3">
      <w:pPr>
        <w:ind w:right="113"/>
      </w:pPr>
      <w:r>
        <w:t xml:space="preserve">The ‘School Context’ describes the school’s vision, values and purpose. </w:t>
      </w:r>
      <w:r>
        <w:t>Details include the school’s geographic location, size and structure, social characteristics, enrolment characteristics and special programs.</w:t>
      </w:r>
    </w:p>
    <w:p w:rsidR="00F33684" w:rsidRDefault="00E32BE3">
      <w:pPr>
        <w:ind w:right="113"/>
      </w:pPr>
    </w:p>
    <w:p w:rsidR="00F33684" w:rsidRDefault="00E32BE3">
      <w:r>
        <w:t>The ‘Framework for Improving Student Outcomes (FISO)’ section includes the improvement initiatives the school has</w:t>
      </w:r>
      <w:r>
        <w:t xml:space="preserve"> selected and the progress they have made towards achieving them</w:t>
      </w:r>
      <w:r>
        <w:t>.</w:t>
      </w:r>
    </w:p>
    <w:p w:rsidR="00F33684" w:rsidRDefault="00E32BE3" w:rsidP="00D47F1A">
      <w:pPr>
        <w:spacing w:before="360"/>
        <w:rPr>
          <w:rFonts w:eastAsia="MS Gothic" w:cs="Times New Roman"/>
          <w:b/>
          <w:bCs/>
          <w:caps/>
          <w:color w:val="00008B"/>
          <w:sz w:val="20"/>
          <w:szCs w:val="20"/>
          <w:u w:val="single"/>
        </w:rPr>
      </w:pPr>
      <w:r>
        <w:rPr>
          <w:rFonts w:eastAsia="MS Gothic" w:cs="Times New Roman"/>
          <w:b/>
          <w:bCs/>
          <w:caps/>
          <w:color w:val="00008B"/>
          <w:sz w:val="20"/>
          <w:szCs w:val="20"/>
          <w:u w:val="single"/>
        </w:rPr>
        <w:t xml:space="preserve">What does the </w:t>
      </w:r>
      <w:r w:rsidRPr="00043675">
        <w:rPr>
          <w:rFonts w:eastAsia="MS Gothic" w:cs="Times New Roman"/>
          <w:b/>
          <w:bCs/>
          <w:i/>
          <w:caps/>
          <w:color w:val="00008B"/>
          <w:sz w:val="20"/>
          <w:szCs w:val="20"/>
          <w:u w:val="single"/>
        </w:rPr>
        <w:t>Performance Summary</w:t>
      </w:r>
      <w:r>
        <w:rPr>
          <w:rFonts w:eastAsia="MS Gothic" w:cs="Times New Roman"/>
          <w:b/>
          <w:bCs/>
          <w:caps/>
          <w:color w:val="00008B"/>
          <w:sz w:val="20"/>
          <w:szCs w:val="20"/>
          <w:u w:val="single"/>
        </w:rPr>
        <w:t xml:space="preserve"> section of this report refer to?</w:t>
      </w:r>
    </w:p>
    <w:p w:rsidR="00F33684" w:rsidRDefault="00E32BE3">
      <w:pPr>
        <w:rPr>
          <w:rFonts w:eastAsia="Arial"/>
          <w:color w:val="000000"/>
        </w:rPr>
      </w:pPr>
      <w:r>
        <w:rPr>
          <w:rFonts w:eastAsia="Arial"/>
          <w:color w:val="000000"/>
        </w:rPr>
        <w:t>The Performance Summary reports on data in two key areas:</w:t>
      </w:r>
    </w:p>
    <w:p w:rsidR="00F33684" w:rsidRDefault="00E32BE3">
      <w:pPr>
        <w:rPr>
          <w:rFonts w:eastAsia="Arial"/>
          <w:color w:val="000000"/>
        </w:rPr>
      </w:pPr>
    </w:p>
    <w:p w:rsidR="00F33684" w:rsidRDefault="00E32BE3">
      <w:pPr>
        <w:rPr>
          <w:rFonts w:eastAsia="Arial"/>
          <w:b/>
          <w:color w:val="000000"/>
        </w:rPr>
      </w:pPr>
      <w:r>
        <w:rPr>
          <w:rFonts w:eastAsia="Arial"/>
          <w:b/>
          <w:color w:val="000000"/>
        </w:rPr>
        <w:t>Achievement</w:t>
      </w:r>
    </w:p>
    <w:p w:rsidR="00F33684" w:rsidRDefault="00E32BE3">
      <w:pPr>
        <w:rPr>
          <w:rFonts w:eastAsia="Arial"/>
          <w:color w:val="000000"/>
        </w:rPr>
      </w:pPr>
      <w:r>
        <w:rPr>
          <w:rFonts w:eastAsia="Arial"/>
          <w:color w:val="000000"/>
        </w:rPr>
        <w:t xml:space="preserve">Student achievements in </w:t>
      </w:r>
    </w:p>
    <w:p w:rsidR="00F33684" w:rsidRDefault="00E32BE3">
      <w:pPr>
        <w:numPr>
          <w:ilvl w:val="0"/>
          <w:numId w:val="29"/>
        </w:numPr>
        <w:rPr>
          <w:rFonts w:eastAsia="Arial"/>
          <w:color w:val="000000"/>
        </w:rPr>
      </w:pPr>
      <w:r>
        <w:rPr>
          <w:rFonts w:eastAsia="Arial"/>
          <w:color w:val="000000"/>
        </w:rPr>
        <w:t>English and Mathematics</w:t>
      </w:r>
    </w:p>
    <w:p w:rsidR="00F33684" w:rsidRDefault="00E32BE3">
      <w:pPr>
        <w:rPr>
          <w:rFonts w:eastAsia="Arial"/>
          <w:b/>
          <w:color w:val="000000"/>
        </w:rPr>
      </w:pPr>
    </w:p>
    <w:p w:rsidR="00F33684" w:rsidRDefault="00E32BE3">
      <w:pPr>
        <w:rPr>
          <w:rFonts w:eastAsia="Arial"/>
          <w:b/>
          <w:color w:val="000000"/>
        </w:rPr>
      </w:pPr>
      <w:r>
        <w:rPr>
          <w:rFonts w:eastAsia="Arial"/>
          <w:b/>
          <w:color w:val="000000"/>
        </w:rPr>
        <w:t>En</w:t>
      </w:r>
      <w:r>
        <w:rPr>
          <w:rFonts w:eastAsia="Arial"/>
          <w:b/>
          <w:color w:val="000000"/>
        </w:rPr>
        <w:t xml:space="preserve">gagement </w:t>
      </w:r>
    </w:p>
    <w:p w:rsidR="00F33684" w:rsidRDefault="00E32BE3">
      <w:pPr>
        <w:numPr>
          <w:ilvl w:val="0"/>
          <w:numId w:val="29"/>
        </w:numPr>
        <w:rPr>
          <w:rFonts w:eastAsia="MS Gothic" w:cs="Times New Roman"/>
          <w:b/>
          <w:bCs/>
          <w:caps/>
          <w:sz w:val="20"/>
          <w:szCs w:val="20"/>
          <w:u w:val="single"/>
        </w:rPr>
      </w:pPr>
      <w:r>
        <w:rPr>
          <w:rFonts w:eastAsia="Arial"/>
        </w:rPr>
        <w:t>student attendance and engagement at school</w:t>
      </w:r>
    </w:p>
    <w:p w:rsidR="00F33684" w:rsidRDefault="00E32BE3">
      <w:pPr>
        <w:numPr>
          <w:ilvl w:val="0"/>
          <w:numId w:val="29"/>
        </w:numPr>
        <w:rPr>
          <w:rFonts w:eastAsia="MS Gothic" w:cs="Times New Roman"/>
          <w:b/>
          <w:bCs/>
          <w:caps/>
          <w:sz w:val="20"/>
          <w:szCs w:val="20"/>
          <w:u w:val="single"/>
        </w:rPr>
      </w:pPr>
      <w:r>
        <w:rPr>
          <w:rFonts w:eastAsia="Arial"/>
        </w:rPr>
        <w:t>how many students leaving school go on to further studies or full-time work (secondary, P-12 and specialist schools)</w:t>
      </w:r>
    </w:p>
    <w:p w:rsidR="00F33684" w:rsidRDefault="00E32BE3" w:rsidP="00D47F1A">
      <w:pPr>
        <w:spacing w:before="360"/>
        <w:rPr>
          <w:rFonts w:eastAsia="MS Gothic" w:cs="Times New Roman"/>
          <w:b/>
          <w:bCs/>
          <w:caps/>
          <w:color w:val="00008B"/>
          <w:sz w:val="20"/>
          <w:szCs w:val="20"/>
          <w:u w:val="single"/>
        </w:rPr>
      </w:pPr>
      <w:r>
        <w:rPr>
          <w:rFonts w:eastAsia="MS Gothic" w:cs="Times New Roman"/>
          <w:b/>
          <w:bCs/>
          <w:caps/>
          <w:color w:val="00008B"/>
          <w:sz w:val="20"/>
          <w:szCs w:val="20"/>
          <w:u w:val="single"/>
        </w:rPr>
        <w:t>What IS THE MEANING OF ‘</w:t>
      </w:r>
      <w:r w:rsidRPr="00043675">
        <w:rPr>
          <w:rFonts w:eastAsia="MS Gothic" w:cs="Times New Roman"/>
          <w:b/>
          <w:bCs/>
          <w:i/>
          <w:caps/>
          <w:color w:val="00008B"/>
          <w:sz w:val="20"/>
          <w:szCs w:val="20"/>
          <w:u w:val="single"/>
        </w:rPr>
        <w:t>Data not available</w:t>
      </w:r>
      <w:r>
        <w:rPr>
          <w:rFonts w:eastAsia="MS Gothic" w:cs="Times New Roman"/>
          <w:b/>
          <w:bCs/>
          <w:caps/>
          <w:color w:val="00008B"/>
          <w:sz w:val="20"/>
          <w:szCs w:val="20"/>
          <w:u w:val="single"/>
        </w:rPr>
        <w:t>’ or ‘</w:t>
      </w:r>
      <w:r w:rsidRPr="00043675">
        <w:rPr>
          <w:rFonts w:eastAsia="MS Gothic" w:cs="Times New Roman"/>
          <w:b/>
          <w:bCs/>
          <w:i/>
          <w:caps/>
          <w:color w:val="00008B"/>
          <w:sz w:val="20"/>
          <w:szCs w:val="20"/>
          <w:u w:val="single"/>
        </w:rPr>
        <w:t>np</w:t>
      </w:r>
      <w:r>
        <w:rPr>
          <w:rFonts w:eastAsia="MS Gothic" w:cs="Times New Roman"/>
          <w:b/>
          <w:bCs/>
          <w:caps/>
          <w:color w:val="00008B"/>
          <w:sz w:val="20"/>
          <w:szCs w:val="20"/>
          <w:u w:val="single"/>
        </w:rPr>
        <w:t>’?</w:t>
      </w:r>
    </w:p>
    <w:p w:rsidR="00F33684" w:rsidRDefault="00E32BE3">
      <w:pPr>
        <w:rPr>
          <w:rFonts w:eastAsia="Arial"/>
          <w:color w:val="000000"/>
        </w:rPr>
      </w:pPr>
      <w:r>
        <w:rPr>
          <w:rFonts w:eastAsia="Arial"/>
          <w:color w:val="000000"/>
        </w:rPr>
        <w:t>Some schools have too few studen</w:t>
      </w:r>
      <w:r>
        <w:rPr>
          <w:rFonts w:eastAsia="Arial"/>
          <w:color w:val="000000"/>
        </w:rPr>
        <w:t xml:space="preserve">ts enrolled to provide data. There may be no students enrolled in some year levels so school comparisons are not possible. </w:t>
      </w:r>
    </w:p>
    <w:p w:rsidR="00F33684" w:rsidRDefault="00E32BE3">
      <w:pPr>
        <w:rPr>
          <w:rFonts w:eastAsia="Arial"/>
          <w:color w:val="000000"/>
        </w:rPr>
      </w:pPr>
    </w:p>
    <w:p w:rsidR="00F33684" w:rsidRDefault="00E32BE3">
      <w:pPr>
        <w:rPr>
          <w:rFonts w:eastAsia="Arial"/>
          <w:color w:val="000000"/>
        </w:rPr>
      </w:pPr>
      <w:r>
        <w:rPr>
          <w:rFonts w:eastAsia="Arial"/>
          <w:color w:val="000000"/>
        </w:rPr>
        <w:t xml:space="preserve">New schools have only the latest year of data and no comparative data from previous years. </w:t>
      </w:r>
    </w:p>
    <w:p w:rsidR="00F33684" w:rsidRDefault="00E32BE3">
      <w:pPr>
        <w:rPr>
          <w:rFonts w:eastAsia="Arial"/>
          <w:color w:val="000000"/>
        </w:rPr>
      </w:pPr>
    </w:p>
    <w:p w:rsidR="00F33684" w:rsidRDefault="00E32BE3">
      <w:r>
        <w:rPr>
          <w:rFonts w:eastAsia="Arial"/>
          <w:color w:val="000000"/>
        </w:rPr>
        <w:t xml:space="preserve">The Department also recognises unique </w:t>
      </w:r>
      <w:r>
        <w:rPr>
          <w:rFonts w:eastAsia="Arial"/>
          <w:color w:val="000000"/>
        </w:rPr>
        <w:t>circumstances in Specialist, Select Entry, English Language and Community Schools where school-to-school comparisons are not appropriate.</w:t>
      </w:r>
    </w:p>
    <w:p w:rsidR="00F33684" w:rsidRDefault="00E32BE3" w:rsidP="00D47F1A">
      <w:pPr>
        <w:spacing w:before="360"/>
        <w:rPr>
          <w:rFonts w:eastAsia="MS Gothic" w:cs="Times New Roman"/>
          <w:b/>
          <w:bCs/>
          <w:caps/>
          <w:color w:val="00008B"/>
          <w:sz w:val="20"/>
          <w:szCs w:val="20"/>
          <w:u w:val="single"/>
        </w:rPr>
      </w:pPr>
      <w:r>
        <w:rPr>
          <w:rFonts w:eastAsia="MS Gothic" w:cs="Times New Roman"/>
          <w:b/>
          <w:bCs/>
          <w:caps/>
          <w:color w:val="00008B"/>
          <w:sz w:val="20"/>
          <w:szCs w:val="20"/>
          <w:u w:val="single"/>
        </w:rPr>
        <w:t>Towards FOUNDATION LEVEL VICTORIAN CURRICULUM</w:t>
      </w:r>
    </w:p>
    <w:p w:rsidR="00F33684" w:rsidRDefault="00E32BE3">
      <w:pPr>
        <w:rPr>
          <w:rFonts w:eastAsia="Arial"/>
          <w:color w:val="000000"/>
        </w:rPr>
      </w:pPr>
      <w:r>
        <w:rPr>
          <w:rFonts w:eastAsia="Arial"/>
          <w:color w:val="000000"/>
        </w:rPr>
        <w:t>The ‘Towards Foundation Level Victorian Curriculum’ is integrated direct</w:t>
      </w:r>
      <w:r>
        <w:rPr>
          <w:rFonts w:eastAsia="Arial"/>
          <w:color w:val="000000"/>
        </w:rPr>
        <w:t>ly into the curriculum and is referred to as ‘Levels A to D’.</w:t>
      </w:r>
    </w:p>
    <w:p w:rsidR="00F33684" w:rsidRDefault="00E32BE3"/>
    <w:p w:rsidR="00F33684" w:rsidRDefault="00E32BE3">
      <w:r>
        <w:rPr>
          <w:rFonts w:eastAsia="Arial"/>
          <w:color w:val="000000"/>
        </w:rPr>
        <w:t>‘Levels A to D’ may be used for students with a disability or students who may have additional learning needs</w:t>
      </w:r>
    </w:p>
    <w:p w:rsidR="00F33684" w:rsidRDefault="00E32BE3"/>
    <w:p w:rsidR="00F33684" w:rsidRDefault="00E32BE3">
      <w:r>
        <w:rPr>
          <w:rFonts w:eastAsia="Arial"/>
          <w:color w:val="000000"/>
        </w:rPr>
        <w:t xml:space="preserve">‘Levels A to D’ are not associated with any set age or year level that links </w:t>
      </w:r>
      <w:r>
        <w:rPr>
          <w:rFonts w:eastAsia="Arial"/>
          <w:color w:val="000000"/>
        </w:rPr>
        <w:t>chronological age to cognitive progress (i.e. there is no age expected standard of achievement for ‘Levels A to D’).</w:t>
      </w:r>
    </w:p>
    <w:sectPr w:rsidR="00F33684">
      <w:headerReference w:type="default" r:id="rId27"/>
      <w:footerReference w:type="default" r:id="rId28"/>
      <w:headerReference w:type="first" r:id="rId29"/>
      <w:pgSz w:w="11900" w:h="16840"/>
      <w:pgMar w:top="1276" w:right="567" w:bottom="851" w:left="567" w:header="142" w:footer="265"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32BE3">
      <w:pPr>
        <w:spacing w:after="0" w:line="240" w:lineRule="auto"/>
      </w:pPr>
      <w:r>
        <w:separator/>
      </w:r>
    </w:p>
  </w:endnote>
  <w:endnote w:type="continuationSeparator" w:id="0">
    <w:p w:rsidR="00000000" w:rsidRDefault="00E3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Default="00E32BE3"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76DE" w:rsidRDefault="00E32BE3"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Pr="003E29B5" w:rsidRDefault="00E32BE3" w:rsidP="00B076DB">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Pr="007839E6" w:rsidRDefault="00E32BE3" w:rsidP="00362A9C">
    <w:pPr>
      <w:pStyle w:val="ESImageorGraphTitle"/>
      <w:rPr>
        <w:b w:val="0"/>
        <w:sz w:val="15"/>
        <w:szCs w:val="15"/>
      </w:rPr>
    </w:pPr>
    <w:r w:rsidRPr="007839E6">
      <w:rPr>
        <w:b w:val="0"/>
        <w:noProof/>
        <w:sz w:val="15"/>
        <w:szCs w:val="15"/>
      </w:rPr>
      <w:t>Hampden Specialist School (5276)</w:t>
    </w:r>
    <w:r w:rsidRPr="007839E6">
      <w:rPr>
        <w:b w:val="0"/>
        <w:noProof/>
        <w:sz w:val="15"/>
        <w:szCs w:val="15"/>
        <w:lang w:val="en-AU" w:eastAsia="en-AU"/>
      </w:rPr>
      <w:drawing>
        <wp:anchor distT="0" distB="0" distL="114300" distR="114300" simplePos="0" relativeHeight="251668480"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rsidR="00B576DE" w:rsidRPr="007B2B29" w:rsidRDefault="00E32BE3" w:rsidP="00B076DB">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4</w:t>
        </w:r>
        <w:r w:rsidRPr="007B2B29">
          <w:rPr>
            <w:rFonts w:eastAsia="Arial" w:cs="Times New Roman"/>
            <w:noProof/>
            <w:color w:val="AF272F"/>
            <w:sz w:val="15"/>
            <w:szCs w:val="15"/>
            <w:lang w:val="en-AU"/>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512444"/>
      <w:docPartObj>
        <w:docPartGallery w:val="Page Numbers (Bottom of Page)"/>
        <w:docPartUnique/>
      </w:docPartObj>
    </w:sdtPr>
    <w:sdtEndPr>
      <w:rPr>
        <w:noProof/>
      </w:rPr>
    </w:sdtEndPr>
    <w:sdtContent>
      <w:p w:rsidR="00F33684" w:rsidRDefault="00E32BE3">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F33684" w:rsidRDefault="00E32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32BE3">
      <w:pPr>
        <w:spacing w:after="0" w:line="240" w:lineRule="auto"/>
      </w:pPr>
      <w:r>
        <w:separator/>
      </w:r>
    </w:p>
  </w:footnote>
  <w:footnote w:type="continuationSeparator" w:id="0">
    <w:p w:rsidR="00000000" w:rsidRDefault="00E32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Default="00E32BE3">
    <w:r>
      <w:rPr>
        <w:noProof/>
        <w:lang w:val="en-AU" w:eastAsia="en-AU"/>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rsidR="00B576DE" w:rsidRDefault="00E32BE3"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B576DE"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Default="00E32BE3">
    <w:pPr>
      <w:pStyle w:val="Header"/>
    </w:pPr>
    <w:r w:rsidRPr="000C104E">
      <w:rPr>
        <w:noProof/>
        <w:lang w:val="en-AU" w:eastAsia="en-AU"/>
      </w:rPr>
      <w:drawing>
        <wp:anchor distT="0" distB="0" distL="114300" distR="114300" simplePos="0" relativeHeight="251666432"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B576DE" w:rsidRDefault="00E32BE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Default="00E32BE3">
    <w:r>
      <w:rPr>
        <w:noProof/>
        <w:lang w:val="en-AU" w:eastAsia="en-AU"/>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rsidR="00B576DE" w:rsidRDefault="00E32BE3"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B576DE"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Default="00E32BE3">
    <w:r>
      <w:rPr>
        <w:noProof/>
        <w:lang w:val="en-AU" w:eastAsia="en-AU"/>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6350000" cy="2286000"/>
              <wp:effectExtent l="0" t="1428750" r="0" b="127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rsidR="00B576DE" w:rsidRDefault="00E32BE3"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B576D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Pr="00FE3A95" w:rsidRDefault="00E32BE3" w:rsidP="00FE3A95">
    <w:pPr>
      <w:jc w:val="right"/>
      <w:rPr>
        <w:sz w:val="22"/>
        <w:szCs w:val="22"/>
      </w:rPr>
    </w:pPr>
    <w:r w:rsidRPr="00FE3A95">
      <w:rPr>
        <w:noProof/>
        <w:sz w:val="22"/>
        <w:szCs w:val="22"/>
      </w:rPr>
      <w:t>Hampden Specialist School (5276)</w:t>
    </w:r>
    <w:r w:rsidRPr="00FE3A95">
      <w:rPr>
        <w:noProof/>
        <w:sz w:val="22"/>
        <w:szCs w:val="22"/>
        <w:lang w:val="en-AU" w:eastAsia="en-AU"/>
      </w:rPr>
      <w:drawing>
        <wp:anchor distT="0" distB="0" distL="114300" distR="114300" simplePos="0" relativeHeight="251667456"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DE" w:rsidRDefault="00E32BE3">
    <w:r>
      <w:rPr>
        <w:noProof/>
        <w:lang w:val="en-AU" w:eastAsia="en-AU"/>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6350000" cy="2286000"/>
              <wp:effectExtent l="0" t="1428750" r="0" b="127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rsidR="00B576DE" w:rsidRDefault="00E32BE3"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3360" filled="f" stroked="f">
              <o:lock v:ext="edit" shapetype="t"/>
              <v:textbox style="mso-fit-shape-to-text:t">
                <w:txbxContent>
                  <w:p w:rsidR="00B576D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684" w:rsidRDefault="00E32BE3">
    <w:pPr>
      <w:pStyle w:val="Header"/>
      <w:spacing w:before="240"/>
    </w:pPr>
    <w:r>
      <w:rPr>
        <w:noProof/>
        <w:lang w:val="en-AU" w:eastAsia="en-AU"/>
      </w:rPr>
      <w:drawing>
        <wp:inline distT="0" distB="0" distL="0" distR="0">
          <wp:extent cx="1471910" cy="512445"/>
          <wp:effectExtent l="0" t="0" r="0" b="1905"/>
          <wp:docPr id="1172837864" name="img3.jpg" descr="Victorian State Government Education and Training logo"/>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 cstate="print"/>
                  <a:stretch>
                    <a:fillRect/>
                  </a:stretch>
                </pic:blipFill>
                <pic:spPr>
                  <a:xfrm>
                    <a:off x="0" y="0"/>
                    <a:ext cx="1574060" cy="548008"/>
                  </a:xfrm>
                  <a:prstGeom prst="rect">
                    <a:avLst/>
                  </a:prstGeom>
                </pic:spPr>
              </pic:pic>
            </a:graphicData>
          </a:graphic>
        </wp:inline>
      </w:drawing>
    </w:r>
    <w:r>
      <w:ptab w:relativeTo="margin" w:alignment="center" w:leader="none"/>
    </w:r>
    <w:r>
      <w:ptab w:relativeTo="margin" w:alignment="right" w:leader="none"/>
    </w:r>
    <w:r>
      <w:rPr>
        <w:noProof/>
        <w:sz w:val="22"/>
        <w:lang w:val="en-AU" w:eastAsia="en-AU"/>
      </w:rPr>
      <w:t>Hampden Specialist School</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684" w:rsidRDefault="00E32BE3">
    <w:pPr>
      <w:pStyle w:val="Header"/>
      <w:ind w:left="-993"/>
    </w:pPr>
    <w:r>
      <w:ptab w:relativeTo="margin" w:alignment="left" w:leader="none"/>
    </w:r>
  </w:p>
  <w:p w:rsidR="00F33684" w:rsidRDefault="00E32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8632EA"/>
    <w:multiLevelType w:val="multilevel"/>
    <w:tmpl w:val="1388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961710"/>
    <w:multiLevelType w:val="hybridMultilevel"/>
    <w:tmpl w:val="81F4FC2E"/>
    <w:lvl w:ilvl="0" w:tplc="CF381514">
      <w:start w:val="1"/>
      <w:numFmt w:val="bullet"/>
      <w:lvlText w:val=""/>
      <w:lvlJc w:val="left"/>
      <w:pPr>
        <w:ind w:left="720" w:hanging="360"/>
      </w:pPr>
      <w:rPr>
        <w:rFonts w:ascii="Symbol" w:hAnsi="Symbol" w:hint="default"/>
      </w:rPr>
    </w:lvl>
    <w:lvl w:ilvl="1" w:tplc="0854FE7A" w:tentative="1">
      <w:start w:val="1"/>
      <w:numFmt w:val="bullet"/>
      <w:lvlText w:val="o"/>
      <w:lvlJc w:val="left"/>
      <w:pPr>
        <w:ind w:left="1440" w:hanging="360"/>
      </w:pPr>
      <w:rPr>
        <w:rFonts w:ascii="Courier New" w:hAnsi="Courier New" w:cs="Courier New" w:hint="default"/>
      </w:rPr>
    </w:lvl>
    <w:lvl w:ilvl="2" w:tplc="34864DF4" w:tentative="1">
      <w:start w:val="1"/>
      <w:numFmt w:val="bullet"/>
      <w:lvlText w:val=""/>
      <w:lvlJc w:val="left"/>
      <w:pPr>
        <w:ind w:left="2160" w:hanging="360"/>
      </w:pPr>
      <w:rPr>
        <w:rFonts w:ascii="Wingdings" w:hAnsi="Wingdings" w:hint="default"/>
      </w:rPr>
    </w:lvl>
    <w:lvl w:ilvl="3" w:tplc="EE281200" w:tentative="1">
      <w:start w:val="1"/>
      <w:numFmt w:val="bullet"/>
      <w:lvlText w:val=""/>
      <w:lvlJc w:val="left"/>
      <w:pPr>
        <w:ind w:left="2880" w:hanging="360"/>
      </w:pPr>
      <w:rPr>
        <w:rFonts w:ascii="Symbol" w:hAnsi="Symbol" w:hint="default"/>
      </w:rPr>
    </w:lvl>
    <w:lvl w:ilvl="4" w:tplc="D524821A" w:tentative="1">
      <w:start w:val="1"/>
      <w:numFmt w:val="bullet"/>
      <w:lvlText w:val="o"/>
      <w:lvlJc w:val="left"/>
      <w:pPr>
        <w:ind w:left="3600" w:hanging="360"/>
      </w:pPr>
      <w:rPr>
        <w:rFonts w:ascii="Courier New" w:hAnsi="Courier New" w:cs="Courier New" w:hint="default"/>
      </w:rPr>
    </w:lvl>
    <w:lvl w:ilvl="5" w:tplc="B50AB640" w:tentative="1">
      <w:start w:val="1"/>
      <w:numFmt w:val="bullet"/>
      <w:lvlText w:val=""/>
      <w:lvlJc w:val="left"/>
      <w:pPr>
        <w:ind w:left="4320" w:hanging="360"/>
      </w:pPr>
      <w:rPr>
        <w:rFonts w:ascii="Wingdings" w:hAnsi="Wingdings" w:hint="default"/>
      </w:rPr>
    </w:lvl>
    <w:lvl w:ilvl="6" w:tplc="2C0AF9E6" w:tentative="1">
      <w:start w:val="1"/>
      <w:numFmt w:val="bullet"/>
      <w:lvlText w:val=""/>
      <w:lvlJc w:val="left"/>
      <w:pPr>
        <w:ind w:left="5040" w:hanging="360"/>
      </w:pPr>
      <w:rPr>
        <w:rFonts w:ascii="Symbol" w:hAnsi="Symbol" w:hint="default"/>
      </w:rPr>
    </w:lvl>
    <w:lvl w:ilvl="7" w:tplc="6F3CC028" w:tentative="1">
      <w:start w:val="1"/>
      <w:numFmt w:val="bullet"/>
      <w:lvlText w:val="o"/>
      <w:lvlJc w:val="left"/>
      <w:pPr>
        <w:ind w:left="5760" w:hanging="360"/>
      </w:pPr>
      <w:rPr>
        <w:rFonts w:ascii="Courier New" w:hAnsi="Courier New" w:cs="Courier New" w:hint="default"/>
      </w:rPr>
    </w:lvl>
    <w:lvl w:ilvl="8" w:tplc="4A7A7C32" w:tentative="1">
      <w:start w:val="1"/>
      <w:numFmt w:val="bullet"/>
      <w:lvlText w:val=""/>
      <w:lvlJc w:val="left"/>
      <w:pPr>
        <w:ind w:left="6480" w:hanging="360"/>
      </w:pPr>
      <w:rPr>
        <w:rFonts w:ascii="Wingdings" w:hAnsi="Wingdings" w:hint="default"/>
      </w:rPr>
    </w:lvl>
  </w:abstractNum>
  <w:abstractNum w:abstractNumId="14"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395702BE"/>
    <w:multiLevelType w:val="hybridMultilevel"/>
    <w:tmpl w:val="D91CCB04"/>
    <w:lvl w:ilvl="0" w:tplc="21E0DB04">
      <w:start w:val="1"/>
      <w:numFmt w:val="bullet"/>
      <w:lvlText w:val=""/>
      <w:lvlJc w:val="left"/>
      <w:pPr>
        <w:ind w:left="720" w:hanging="360"/>
      </w:pPr>
      <w:rPr>
        <w:rFonts w:ascii="Symbol" w:hAnsi="Symbol" w:hint="default"/>
      </w:rPr>
    </w:lvl>
    <w:lvl w:ilvl="1" w:tplc="C0CA8106" w:tentative="1">
      <w:start w:val="1"/>
      <w:numFmt w:val="bullet"/>
      <w:lvlText w:val="o"/>
      <w:lvlJc w:val="left"/>
      <w:pPr>
        <w:ind w:left="1440" w:hanging="360"/>
      </w:pPr>
      <w:rPr>
        <w:rFonts w:ascii="Courier New" w:hAnsi="Courier New" w:cs="Courier New" w:hint="default"/>
      </w:rPr>
    </w:lvl>
    <w:lvl w:ilvl="2" w:tplc="46B01A12" w:tentative="1">
      <w:start w:val="1"/>
      <w:numFmt w:val="bullet"/>
      <w:lvlText w:val=""/>
      <w:lvlJc w:val="left"/>
      <w:pPr>
        <w:ind w:left="2160" w:hanging="360"/>
      </w:pPr>
      <w:rPr>
        <w:rFonts w:ascii="Wingdings" w:hAnsi="Wingdings" w:hint="default"/>
      </w:rPr>
    </w:lvl>
    <w:lvl w:ilvl="3" w:tplc="AD8AF240" w:tentative="1">
      <w:start w:val="1"/>
      <w:numFmt w:val="bullet"/>
      <w:lvlText w:val=""/>
      <w:lvlJc w:val="left"/>
      <w:pPr>
        <w:ind w:left="2880" w:hanging="360"/>
      </w:pPr>
      <w:rPr>
        <w:rFonts w:ascii="Symbol" w:hAnsi="Symbol" w:hint="default"/>
      </w:rPr>
    </w:lvl>
    <w:lvl w:ilvl="4" w:tplc="3E48D0EC" w:tentative="1">
      <w:start w:val="1"/>
      <w:numFmt w:val="bullet"/>
      <w:lvlText w:val="o"/>
      <w:lvlJc w:val="left"/>
      <w:pPr>
        <w:ind w:left="3600" w:hanging="360"/>
      </w:pPr>
      <w:rPr>
        <w:rFonts w:ascii="Courier New" w:hAnsi="Courier New" w:cs="Courier New" w:hint="default"/>
      </w:rPr>
    </w:lvl>
    <w:lvl w:ilvl="5" w:tplc="6864590C" w:tentative="1">
      <w:start w:val="1"/>
      <w:numFmt w:val="bullet"/>
      <w:lvlText w:val=""/>
      <w:lvlJc w:val="left"/>
      <w:pPr>
        <w:ind w:left="4320" w:hanging="360"/>
      </w:pPr>
      <w:rPr>
        <w:rFonts w:ascii="Wingdings" w:hAnsi="Wingdings" w:hint="default"/>
      </w:rPr>
    </w:lvl>
    <w:lvl w:ilvl="6" w:tplc="A434104A" w:tentative="1">
      <w:start w:val="1"/>
      <w:numFmt w:val="bullet"/>
      <w:lvlText w:val=""/>
      <w:lvlJc w:val="left"/>
      <w:pPr>
        <w:ind w:left="5040" w:hanging="360"/>
      </w:pPr>
      <w:rPr>
        <w:rFonts w:ascii="Symbol" w:hAnsi="Symbol" w:hint="default"/>
      </w:rPr>
    </w:lvl>
    <w:lvl w:ilvl="7" w:tplc="311A0F12" w:tentative="1">
      <w:start w:val="1"/>
      <w:numFmt w:val="bullet"/>
      <w:lvlText w:val="o"/>
      <w:lvlJc w:val="left"/>
      <w:pPr>
        <w:ind w:left="5760" w:hanging="360"/>
      </w:pPr>
      <w:rPr>
        <w:rFonts w:ascii="Courier New" w:hAnsi="Courier New" w:cs="Courier New" w:hint="default"/>
      </w:rPr>
    </w:lvl>
    <w:lvl w:ilvl="8" w:tplc="A33CAD96" w:tentative="1">
      <w:start w:val="1"/>
      <w:numFmt w:val="bullet"/>
      <w:lvlText w:val=""/>
      <w:lvlJc w:val="left"/>
      <w:pPr>
        <w:ind w:left="6480" w:hanging="360"/>
      </w:pPr>
      <w:rPr>
        <w:rFonts w:ascii="Wingdings" w:hAnsi="Wingdings" w:hint="default"/>
      </w:rPr>
    </w:lvl>
  </w:abstractNum>
  <w:abstractNum w:abstractNumId="16" w15:restartNumberingAfterBreak="0">
    <w:nsid w:val="3960527E"/>
    <w:multiLevelType w:val="hybridMultilevel"/>
    <w:tmpl w:val="97505B86"/>
    <w:lvl w:ilvl="0" w:tplc="78E42DC0">
      <w:start w:val="1"/>
      <w:numFmt w:val="bullet"/>
      <w:pStyle w:val="ESBulletsinTable"/>
      <w:lvlText w:val=""/>
      <w:lvlJc w:val="left"/>
      <w:pPr>
        <w:ind w:left="360" w:hanging="360"/>
      </w:pPr>
      <w:rPr>
        <w:rFonts w:ascii="Symbol" w:hAnsi="Symbol" w:hint="default"/>
        <w:color w:val="AF272F"/>
      </w:rPr>
    </w:lvl>
    <w:lvl w:ilvl="1" w:tplc="7042106C">
      <w:start w:val="1"/>
      <w:numFmt w:val="bullet"/>
      <w:pStyle w:val="ESBulletsinTableLevel2"/>
      <w:lvlText w:val="o"/>
      <w:lvlJc w:val="left"/>
      <w:pPr>
        <w:ind w:left="1440" w:hanging="360"/>
      </w:pPr>
      <w:rPr>
        <w:rFonts w:ascii="Courier New" w:hAnsi="Courier New" w:cs="Courier New" w:hint="default"/>
      </w:rPr>
    </w:lvl>
    <w:lvl w:ilvl="2" w:tplc="6E04F3A6" w:tentative="1">
      <w:start w:val="1"/>
      <w:numFmt w:val="bullet"/>
      <w:lvlText w:val=""/>
      <w:lvlJc w:val="left"/>
      <w:pPr>
        <w:ind w:left="2160" w:hanging="360"/>
      </w:pPr>
      <w:rPr>
        <w:rFonts w:ascii="Wingdings" w:hAnsi="Wingdings" w:hint="default"/>
      </w:rPr>
    </w:lvl>
    <w:lvl w:ilvl="3" w:tplc="E21CD8FA" w:tentative="1">
      <w:start w:val="1"/>
      <w:numFmt w:val="bullet"/>
      <w:lvlText w:val=""/>
      <w:lvlJc w:val="left"/>
      <w:pPr>
        <w:ind w:left="2880" w:hanging="360"/>
      </w:pPr>
      <w:rPr>
        <w:rFonts w:ascii="Symbol" w:hAnsi="Symbol" w:hint="default"/>
      </w:rPr>
    </w:lvl>
    <w:lvl w:ilvl="4" w:tplc="6A72F046" w:tentative="1">
      <w:start w:val="1"/>
      <w:numFmt w:val="bullet"/>
      <w:lvlText w:val="o"/>
      <w:lvlJc w:val="left"/>
      <w:pPr>
        <w:ind w:left="3600" w:hanging="360"/>
      </w:pPr>
      <w:rPr>
        <w:rFonts w:ascii="Courier New" w:hAnsi="Courier New" w:cs="Courier New" w:hint="default"/>
      </w:rPr>
    </w:lvl>
    <w:lvl w:ilvl="5" w:tplc="3F809B46" w:tentative="1">
      <w:start w:val="1"/>
      <w:numFmt w:val="bullet"/>
      <w:lvlText w:val=""/>
      <w:lvlJc w:val="left"/>
      <w:pPr>
        <w:ind w:left="4320" w:hanging="360"/>
      </w:pPr>
      <w:rPr>
        <w:rFonts w:ascii="Wingdings" w:hAnsi="Wingdings" w:hint="default"/>
      </w:rPr>
    </w:lvl>
    <w:lvl w:ilvl="6" w:tplc="70F26130" w:tentative="1">
      <w:start w:val="1"/>
      <w:numFmt w:val="bullet"/>
      <w:lvlText w:val=""/>
      <w:lvlJc w:val="left"/>
      <w:pPr>
        <w:ind w:left="5040" w:hanging="360"/>
      </w:pPr>
      <w:rPr>
        <w:rFonts w:ascii="Symbol" w:hAnsi="Symbol" w:hint="default"/>
      </w:rPr>
    </w:lvl>
    <w:lvl w:ilvl="7" w:tplc="CB4499DA" w:tentative="1">
      <w:start w:val="1"/>
      <w:numFmt w:val="bullet"/>
      <w:lvlText w:val="o"/>
      <w:lvlJc w:val="left"/>
      <w:pPr>
        <w:ind w:left="5760" w:hanging="360"/>
      </w:pPr>
      <w:rPr>
        <w:rFonts w:ascii="Courier New" w:hAnsi="Courier New" w:cs="Courier New" w:hint="default"/>
      </w:rPr>
    </w:lvl>
    <w:lvl w:ilvl="8" w:tplc="A5BEF55A"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1D4664B0">
      <w:start w:val="1"/>
      <w:numFmt w:val="bullet"/>
      <w:lvlText w:val=""/>
      <w:lvlJc w:val="left"/>
      <w:pPr>
        <w:ind w:left="720" w:hanging="360"/>
      </w:pPr>
      <w:rPr>
        <w:rFonts w:ascii="Symbol" w:hAnsi="Symbol" w:hint="default"/>
      </w:rPr>
    </w:lvl>
    <w:lvl w:ilvl="1" w:tplc="17D24066" w:tentative="1">
      <w:start w:val="1"/>
      <w:numFmt w:val="bullet"/>
      <w:lvlText w:val="o"/>
      <w:lvlJc w:val="left"/>
      <w:pPr>
        <w:ind w:left="1440" w:hanging="360"/>
      </w:pPr>
      <w:rPr>
        <w:rFonts w:ascii="Courier New" w:hAnsi="Courier New" w:cs="Courier New" w:hint="default"/>
      </w:rPr>
    </w:lvl>
    <w:lvl w:ilvl="2" w:tplc="DF348340" w:tentative="1">
      <w:start w:val="1"/>
      <w:numFmt w:val="bullet"/>
      <w:lvlText w:val=""/>
      <w:lvlJc w:val="left"/>
      <w:pPr>
        <w:ind w:left="2160" w:hanging="360"/>
      </w:pPr>
      <w:rPr>
        <w:rFonts w:ascii="Wingdings" w:hAnsi="Wingdings" w:hint="default"/>
      </w:rPr>
    </w:lvl>
    <w:lvl w:ilvl="3" w:tplc="A4F827BC" w:tentative="1">
      <w:start w:val="1"/>
      <w:numFmt w:val="bullet"/>
      <w:lvlText w:val=""/>
      <w:lvlJc w:val="left"/>
      <w:pPr>
        <w:ind w:left="2880" w:hanging="360"/>
      </w:pPr>
      <w:rPr>
        <w:rFonts w:ascii="Symbol" w:hAnsi="Symbol" w:hint="default"/>
      </w:rPr>
    </w:lvl>
    <w:lvl w:ilvl="4" w:tplc="B37624C6" w:tentative="1">
      <w:start w:val="1"/>
      <w:numFmt w:val="bullet"/>
      <w:lvlText w:val="o"/>
      <w:lvlJc w:val="left"/>
      <w:pPr>
        <w:ind w:left="3600" w:hanging="360"/>
      </w:pPr>
      <w:rPr>
        <w:rFonts w:ascii="Courier New" w:hAnsi="Courier New" w:cs="Courier New" w:hint="default"/>
      </w:rPr>
    </w:lvl>
    <w:lvl w:ilvl="5" w:tplc="3250908C" w:tentative="1">
      <w:start w:val="1"/>
      <w:numFmt w:val="bullet"/>
      <w:lvlText w:val=""/>
      <w:lvlJc w:val="left"/>
      <w:pPr>
        <w:ind w:left="4320" w:hanging="360"/>
      </w:pPr>
      <w:rPr>
        <w:rFonts w:ascii="Wingdings" w:hAnsi="Wingdings" w:hint="default"/>
      </w:rPr>
    </w:lvl>
    <w:lvl w:ilvl="6" w:tplc="C8142B5E" w:tentative="1">
      <w:start w:val="1"/>
      <w:numFmt w:val="bullet"/>
      <w:lvlText w:val=""/>
      <w:lvlJc w:val="left"/>
      <w:pPr>
        <w:ind w:left="5040" w:hanging="360"/>
      </w:pPr>
      <w:rPr>
        <w:rFonts w:ascii="Symbol" w:hAnsi="Symbol" w:hint="default"/>
      </w:rPr>
    </w:lvl>
    <w:lvl w:ilvl="7" w:tplc="4162CC92" w:tentative="1">
      <w:start w:val="1"/>
      <w:numFmt w:val="bullet"/>
      <w:lvlText w:val="o"/>
      <w:lvlJc w:val="left"/>
      <w:pPr>
        <w:ind w:left="5760" w:hanging="360"/>
      </w:pPr>
      <w:rPr>
        <w:rFonts w:ascii="Courier New" w:hAnsi="Courier New" w:cs="Courier New" w:hint="default"/>
      </w:rPr>
    </w:lvl>
    <w:lvl w:ilvl="8" w:tplc="AE184CA4" w:tentative="1">
      <w:start w:val="1"/>
      <w:numFmt w:val="bullet"/>
      <w:lvlText w:val=""/>
      <w:lvlJc w:val="left"/>
      <w:pPr>
        <w:ind w:left="6480" w:hanging="360"/>
      </w:pPr>
      <w:rPr>
        <w:rFonts w:ascii="Wingdings" w:hAnsi="Wingdings" w:hint="default"/>
      </w:rPr>
    </w:lvl>
  </w:abstractNum>
  <w:abstractNum w:abstractNumId="18" w15:restartNumberingAfterBreak="0">
    <w:nsid w:val="425F02CC"/>
    <w:multiLevelType w:val="hybridMultilevel"/>
    <w:tmpl w:val="E5208B52"/>
    <w:lvl w:ilvl="0" w:tplc="ACB29538">
      <w:start w:val="1"/>
      <w:numFmt w:val="bullet"/>
      <w:lvlText w:val=""/>
      <w:lvlJc w:val="left"/>
      <w:pPr>
        <w:ind w:left="180" w:hanging="360"/>
      </w:pPr>
      <w:rPr>
        <w:rFonts w:ascii="Symbol" w:hAnsi="Symbol" w:hint="default"/>
      </w:rPr>
    </w:lvl>
    <w:lvl w:ilvl="1" w:tplc="FF1A33CE" w:tentative="1">
      <w:start w:val="1"/>
      <w:numFmt w:val="bullet"/>
      <w:lvlText w:val="o"/>
      <w:lvlJc w:val="left"/>
      <w:pPr>
        <w:ind w:left="900" w:hanging="360"/>
      </w:pPr>
      <w:rPr>
        <w:rFonts w:ascii="Courier New" w:hAnsi="Courier New" w:cs="Courier New" w:hint="default"/>
      </w:rPr>
    </w:lvl>
    <w:lvl w:ilvl="2" w:tplc="CA6405E6" w:tentative="1">
      <w:start w:val="1"/>
      <w:numFmt w:val="bullet"/>
      <w:lvlText w:val=""/>
      <w:lvlJc w:val="left"/>
      <w:pPr>
        <w:ind w:left="1620" w:hanging="360"/>
      </w:pPr>
      <w:rPr>
        <w:rFonts w:ascii="Wingdings" w:hAnsi="Wingdings" w:hint="default"/>
      </w:rPr>
    </w:lvl>
    <w:lvl w:ilvl="3" w:tplc="BB6CA230" w:tentative="1">
      <w:start w:val="1"/>
      <w:numFmt w:val="bullet"/>
      <w:lvlText w:val=""/>
      <w:lvlJc w:val="left"/>
      <w:pPr>
        <w:ind w:left="2340" w:hanging="360"/>
      </w:pPr>
      <w:rPr>
        <w:rFonts w:ascii="Symbol" w:hAnsi="Symbol" w:hint="default"/>
      </w:rPr>
    </w:lvl>
    <w:lvl w:ilvl="4" w:tplc="A6CC503E" w:tentative="1">
      <w:start w:val="1"/>
      <w:numFmt w:val="bullet"/>
      <w:lvlText w:val="o"/>
      <w:lvlJc w:val="left"/>
      <w:pPr>
        <w:ind w:left="3060" w:hanging="360"/>
      </w:pPr>
      <w:rPr>
        <w:rFonts w:ascii="Courier New" w:hAnsi="Courier New" w:cs="Courier New" w:hint="default"/>
      </w:rPr>
    </w:lvl>
    <w:lvl w:ilvl="5" w:tplc="F4E47168" w:tentative="1">
      <w:start w:val="1"/>
      <w:numFmt w:val="bullet"/>
      <w:lvlText w:val=""/>
      <w:lvlJc w:val="left"/>
      <w:pPr>
        <w:ind w:left="3780" w:hanging="360"/>
      </w:pPr>
      <w:rPr>
        <w:rFonts w:ascii="Wingdings" w:hAnsi="Wingdings" w:hint="default"/>
      </w:rPr>
    </w:lvl>
    <w:lvl w:ilvl="6" w:tplc="2F16CD02" w:tentative="1">
      <w:start w:val="1"/>
      <w:numFmt w:val="bullet"/>
      <w:lvlText w:val=""/>
      <w:lvlJc w:val="left"/>
      <w:pPr>
        <w:ind w:left="4500" w:hanging="360"/>
      </w:pPr>
      <w:rPr>
        <w:rFonts w:ascii="Symbol" w:hAnsi="Symbol" w:hint="default"/>
      </w:rPr>
    </w:lvl>
    <w:lvl w:ilvl="7" w:tplc="7FFA34EC" w:tentative="1">
      <w:start w:val="1"/>
      <w:numFmt w:val="bullet"/>
      <w:lvlText w:val="o"/>
      <w:lvlJc w:val="left"/>
      <w:pPr>
        <w:ind w:left="5220" w:hanging="360"/>
      </w:pPr>
      <w:rPr>
        <w:rFonts w:ascii="Courier New" w:hAnsi="Courier New" w:cs="Courier New" w:hint="default"/>
      </w:rPr>
    </w:lvl>
    <w:lvl w:ilvl="8" w:tplc="BB589292" w:tentative="1">
      <w:start w:val="1"/>
      <w:numFmt w:val="bullet"/>
      <w:lvlText w:val=""/>
      <w:lvlJc w:val="left"/>
      <w:pPr>
        <w:ind w:left="5940" w:hanging="360"/>
      </w:pPr>
      <w:rPr>
        <w:rFonts w:ascii="Wingdings" w:hAnsi="Wingdings" w:hint="default"/>
      </w:rPr>
    </w:lvl>
  </w:abstractNum>
  <w:abstractNum w:abstractNumId="19"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15:restartNumberingAfterBreak="0">
    <w:nsid w:val="62E2458A"/>
    <w:multiLevelType w:val="hybridMultilevel"/>
    <w:tmpl w:val="0F5A6546"/>
    <w:lvl w:ilvl="0" w:tplc="5A6657AE">
      <w:start w:val="1"/>
      <w:numFmt w:val="bullet"/>
      <w:lvlText w:val=""/>
      <w:lvlJc w:val="left"/>
      <w:pPr>
        <w:ind w:left="720" w:hanging="360"/>
      </w:pPr>
      <w:rPr>
        <w:rFonts w:ascii="Symbol" w:hAnsi="Symbol" w:hint="default"/>
      </w:rPr>
    </w:lvl>
    <w:lvl w:ilvl="1" w:tplc="1FF0AADE" w:tentative="1">
      <w:start w:val="1"/>
      <w:numFmt w:val="bullet"/>
      <w:lvlText w:val="o"/>
      <w:lvlJc w:val="left"/>
      <w:pPr>
        <w:ind w:left="1440" w:hanging="360"/>
      </w:pPr>
      <w:rPr>
        <w:rFonts w:ascii="Courier New" w:hAnsi="Courier New" w:cs="Courier New" w:hint="default"/>
      </w:rPr>
    </w:lvl>
    <w:lvl w:ilvl="2" w:tplc="895E846C" w:tentative="1">
      <w:start w:val="1"/>
      <w:numFmt w:val="bullet"/>
      <w:lvlText w:val=""/>
      <w:lvlJc w:val="left"/>
      <w:pPr>
        <w:ind w:left="2160" w:hanging="360"/>
      </w:pPr>
      <w:rPr>
        <w:rFonts w:ascii="Wingdings" w:hAnsi="Wingdings" w:hint="default"/>
      </w:rPr>
    </w:lvl>
    <w:lvl w:ilvl="3" w:tplc="C77C808C" w:tentative="1">
      <w:start w:val="1"/>
      <w:numFmt w:val="bullet"/>
      <w:lvlText w:val=""/>
      <w:lvlJc w:val="left"/>
      <w:pPr>
        <w:ind w:left="2880" w:hanging="360"/>
      </w:pPr>
      <w:rPr>
        <w:rFonts w:ascii="Symbol" w:hAnsi="Symbol" w:hint="default"/>
      </w:rPr>
    </w:lvl>
    <w:lvl w:ilvl="4" w:tplc="1D3CE11A" w:tentative="1">
      <w:start w:val="1"/>
      <w:numFmt w:val="bullet"/>
      <w:lvlText w:val="o"/>
      <w:lvlJc w:val="left"/>
      <w:pPr>
        <w:ind w:left="3600" w:hanging="360"/>
      </w:pPr>
      <w:rPr>
        <w:rFonts w:ascii="Courier New" w:hAnsi="Courier New" w:cs="Courier New" w:hint="default"/>
      </w:rPr>
    </w:lvl>
    <w:lvl w:ilvl="5" w:tplc="23AC0308" w:tentative="1">
      <w:start w:val="1"/>
      <w:numFmt w:val="bullet"/>
      <w:lvlText w:val=""/>
      <w:lvlJc w:val="left"/>
      <w:pPr>
        <w:ind w:left="4320" w:hanging="360"/>
      </w:pPr>
      <w:rPr>
        <w:rFonts w:ascii="Wingdings" w:hAnsi="Wingdings" w:hint="default"/>
      </w:rPr>
    </w:lvl>
    <w:lvl w:ilvl="6" w:tplc="8BE66246" w:tentative="1">
      <w:start w:val="1"/>
      <w:numFmt w:val="bullet"/>
      <w:lvlText w:val=""/>
      <w:lvlJc w:val="left"/>
      <w:pPr>
        <w:ind w:left="5040" w:hanging="360"/>
      </w:pPr>
      <w:rPr>
        <w:rFonts w:ascii="Symbol" w:hAnsi="Symbol" w:hint="default"/>
      </w:rPr>
    </w:lvl>
    <w:lvl w:ilvl="7" w:tplc="9F5E60A0" w:tentative="1">
      <w:start w:val="1"/>
      <w:numFmt w:val="bullet"/>
      <w:lvlText w:val="o"/>
      <w:lvlJc w:val="left"/>
      <w:pPr>
        <w:ind w:left="5760" w:hanging="360"/>
      </w:pPr>
      <w:rPr>
        <w:rFonts w:ascii="Courier New" w:hAnsi="Courier New" w:cs="Courier New" w:hint="default"/>
      </w:rPr>
    </w:lvl>
    <w:lvl w:ilvl="8" w:tplc="6EAEAA64" w:tentative="1">
      <w:start w:val="1"/>
      <w:numFmt w:val="bullet"/>
      <w:lvlText w:val=""/>
      <w:lvlJc w:val="left"/>
      <w:pPr>
        <w:ind w:left="6480" w:hanging="360"/>
      </w:pPr>
      <w:rPr>
        <w:rFonts w:ascii="Wingdings" w:hAnsi="Wingdings" w:hint="default"/>
      </w:rPr>
    </w:lvl>
  </w:abstractNum>
  <w:abstractNum w:abstractNumId="21" w15:restartNumberingAfterBreak="0">
    <w:nsid w:val="63AE4D02"/>
    <w:multiLevelType w:val="hybridMultilevel"/>
    <w:tmpl w:val="209C8AF0"/>
    <w:lvl w:ilvl="0" w:tplc="7A6C0EF4">
      <w:start w:val="1"/>
      <w:numFmt w:val="bullet"/>
      <w:lvlText w:val=""/>
      <w:lvlJc w:val="left"/>
      <w:pPr>
        <w:ind w:left="180" w:hanging="360"/>
      </w:pPr>
      <w:rPr>
        <w:rFonts w:ascii="Symbol" w:hAnsi="Symbol" w:hint="default"/>
      </w:rPr>
    </w:lvl>
    <w:lvl w:ilvl="1" w:tplc="E6003690" w:tentative="1">
      <w:start w:val="1"/>
      <w:numFmt w:val="bullet"/>
      <w:lvlText w:val="o"/>
      <w:lvlJc w:val="left"/>
      <w:pPr>
        <w:ind w:left="900" w:hanging="360"/>
      </w:pPr>
      <w:rPr>
        <w:rFonts w:ascii="Courier New" w:hAnsi="Courier New" w:cs="Courier New" w:hint="default"/>
      </w:rPr>
    </w:lvl>
    <w:lvl w:ilvl="2" w:tplc="B3DC93A0" w:tentative="1">
      <w:start w:val="1"/>
      <w:numFmt w:val="bullet"/>
      <w:lvlText w:val=""/>
      <w:lvlJc w:val="left"/>
      <w:pPr>
        <w:ind w:left="1620" w:hanging="360"/>
      </w:pPr>
      <w:rPr>
        <w:rFonts w:ascii="Wingdings" w:hAnsi="Wingdings" w:hint="default"/>
      </w:rPr>
    </w:lvl>
    <w:lvl w:ilvl="3" w:tplc="0DFA8B72" w:tentative="1">
      <w:start w:val="1"/>
      <w:numFmt w:val="bullet"/>
      <w:lvlText w:val=""/>
      <w:lvlJc w:val="left"/>
      <w:pPr>
        <w:ind w:left="2340" w:hanging="360"/>
      </w:pPr>
      <w:rPr>
        <w:rFonts w:ascii="Symbol" w:hAnsi="Symbol" w:hint="default"/>
      </w:rPr>
    </w:lvl>
    <w:lvl w:ilvl="4" w:tplc="35240CCC" w:tentative="1">
      <w:start w:val="1"/>
      <w:numFmt w:val="bullet"/>
      <w:lvlText w:val="o"/>
      <w:lvlJc w:val="left"/>
      <w:pPr>
        <w:ind w:left="3060" w:hanging="360"/>
      </w:pPr>
      <w:rPr>
        <w:rFonts w:ascii="Courier New" w:hAnsi="Courier New" w:cs="Courier New" w:hint="default"/>
      </w:rPr>
    </w:lvl>
    <w:lvl w:ilvl="5" w:tplc="54EE9FDC" w:tentative="1">
      <w:start w:val="1"/>
      <w:numFmt w:val="bullet"/>
      <w:lvlText w:val=""/>
      <w:lvlJc w:val="left"/>
      <w:pPr>
        <w:ind w:left="3780" w:hanging="360"/>
      </w:pPr>
      <w:rPr>
        <w:rFonts w:ascii="Wingdings" w:hAnsi="Wingdings" w:hint="default"/>
      </w:rPr>
    </w:lvl>
    <w:lvl w:ilvl="6" w:tplc="4EC68A74" w:tentative="1">
      <w:start w:val="1"/>
      <w:numFmt w:val="bullet"/>
      <w:lvlText w:val=""/>
      <w:lvlJc w:val="left"/>
      <w:pPr>
        <w:ind w:left="4500" w:hanging="360"/>
      </w:pPr>
      <w:rPr>
        <w:rFonts w:ascii="Symbol" w:hAnsi="Symbol" w:hint="default"/>
      </w:rPr>
    </w:lvl>
    <w:lvl w:ilvl="7" w:tplc="F8C08D24" w:tentative="1">
      <w:start w:val="1"/>
      <w:numFmt w:val="bullet"/>
      <w:lvlText w:val="o"/>
      <w:lvlJc w:val="left"/>
      <w:pPr>
        <w:ind w:left="5220" w:hanging="360"/>
      </w:pPr>
      <w:rPr>
        <w:rFonts w:ascii="Courier New" w:hAnsi="Courier New" w:cs="Courier New" w:hint="default"/>
      </w:rPr>
    </w:lvl>
    <w:lvl w:ilvl="8" w:tplc="1CBEF076" w:tentative="1">
      <w:start w:val="1"/>
      <w:numFmt w:val="bullet"/>
      <w:lvlText w:val=""/>
      <w:lvlJc w:val="left"/>
      <w:pPr>
        <w:ind w:left="5940" w:hanging="360"/>
      </w:pPr>
      <w:rPr>
        <w:rFonts w:ascii="Wingdings" w:hAnsi="Wingdings" w:hint="default"/>
      </w:rPr>
    </w:lvl>
  </w:abstractNum>
  <w:abstractNum w:abstractNumId="22" w15:restartNumberingAfterBreak="0">
    <w:nsid w:val="6FD9220F"/>
    <w:multiLevelType w:val="hybridMultilevel"/>
    <w:tmpl w:val="82AA4ECA"/>
    <w:lvl w:ilvl="0" w:tplc="5790C084">
      <w:start w:val="1"/>
      <w:numFmt w:val="bullet"/>
      <w:lvlText w:val=""/>
      <w:lvlJc w:val="left"/>
      <w:pPr>
        <w:ind w:left="720" w:hanging="360"/>
      </w:pPr>
      <w:rPr>
        <w:rFonts w:ascii="Symbol" w:hAnsi="Symbol" w:hint="default"/>
      </w:rPr>
    </w:lvl>
    <w:lvl w:ilvl="1" w:tplc="3B685E4A" w:tentative="1">
      <w:start w:val="1"/>
      <w:numFmt w:val="bullet"/>
      <w:lvlText w:val="o"/>
      <w:lvlJc w:val="left"/>
      <w:pPr>
        <w:ind w:left="1440" w:hanging="360"/>
      </w:pPr>
      <w:rPr>
        <w:rFonts w:ascii="Courier New" w:hAnsi="Courier New" w:cs="Courier New" w:hint="default"/>
      </w:rPr>
    </w:lvl>
    <w:lvl w:ilvl="2" w:tplc="DA464B72" w:tentative="1">
      <w:start w:val="1"/>
      <w:numFmt w:val="bullet"/>
      <w:lvlText w:val=""/>
      <w:lvlJc w:val="left"/>
      <w:pPr>
        <w:ind w:left="2160" w:hanging="360"/>
      </w:pPr>
      <w:rPr>
        <w:rFonts w:ascii="Wingdings" w:hAnsi="Wingdings" w:hint="default"/>
      </w:rPr>
    </w:lvl>
    <w:lvl w:ilvl="3" w:tplc="C8BC857C" w:tentative="1">
      <w:start w:val="1"/>
      <w:numFmt w:val="bullet"/>
      <w:lvlText w:val=""/>
      <w:lvlJc w:val="left"/>
      <w:pPr>
        <w:ind w:left="2880" w:hanging="360"/>
      </w:pPr>
      <w:rPr>
        <w:rFonts w:ascii="Symbol" w:hAnsi="Symbol" w:hint="default"/>
      </w:rPr>
    </w:lvl>
    <w:lvl w:ilvl="4" w:tplc="908A85CE" w:tentative="1">
      <w:start w:val="1"/>
      <w:numFmt w:val="bullet"/>
      <w:lvlText w:val="o"/>
      <w:lvlJc w:val="left"/>
      <w:pPr>
        <w:ind w:left="3600" w:hanging="360"/>
      </w:pPr>
      <w:rPr>
        <w:rFonts w:ascii="Courier New" w:hAnsi="Courier New" w:cs="Courier New" w:hint="default"/>
      </w:rPr>
    </w:lvl>
    <w:lvl w:ilvl="5" w:tplc="BE20721E" w:tentative="1">
      <w:start w:val="1"/>
      <w:numFmt w:val="bullet"/>
      <w:lvlText w:val=""/>
      <w:lvlJc w:val="left"/>
      <w:pPr>
        <w:ind w:left="4320" w:hanging="360"/>
      </w:pPr>
      <w:rPr>
        <w:rFonts w:ascii="Wingdings" w:hAnsi="Wingdings" w:hint="default"/>
      </w:rPr>
    </w:lvl>
    <w:lvl w:ilvl="6" w:tplc="79DC5042" w:tentative="1">
      <w:start w:val="1"/>
      <w:numFmt w:val="bullet"/>
      <w:lvlText w:val=""/>
      <w:lvlJc w:val="left"/>
      <w:pPr>
        <w:ind w:left="5040" w:hanging="360"/>
      </w:pPr>
      <w:rPr>
        <w:rFonts w:ascii="Symbol" w:hAnsi="Symbol" w:hint="default"/>
      </w:rPr>
    </w:lvl>
    <w:lvl w:ilvl="7" w:tplc="784EB54C" w:tentative="1">
      <w:start w:val="1"/>
      <w:numFmt w:val="bullet"/>
      <w:lvlText w:val="o"/>
      <w:lvlJc w:val="left"/>
      <w:pPr>
        <w:ind w:left="5760" w:hanging="360"/>
      </w:pPr>
      <w:rPr>
        <w:rFonts w:ascii="Courier New" w:hAnsi="Courier New" w:cs="Courier New" w:hint="default"/>
      </w:rPr>
    </w:lvl>
    <w:lvl w:ilvl="8" w:tplc="CCD47598" w:tentative="1">
      <w:start w:val="1"/>
      <w:numFmt w:val="bullet"/>
      <w:lvlText w:val=""/>
      <w:lvlJc w:val="left"/>
      <w:pPr>
        <w:ind w:left="6480" w:hanging="360"/>
      </w:pPr>
      <w:rPr>
        <w:rFonts w:ascii="Wingdings" w:hAnsi="Wingdings" w:hint="default"/>
      </w:rPr>
    </w:lvl>
  </w:abstractNum>
  <w:abstractNum w:abstractNumId="23"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4" w15:restartNumberingAfterBreak="0">
    <w:nsid w:val="7CFC19AF"/>
    <w:multiLevelType w:val="multilevel"/>
    <w:tmpl w:val="0A9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CB6DE1"/>
    <w:multiLevelType w:val="hybridMultilevel"/>
    <w:tmpl w:val="D8BE78AA"/>
    <w:lvl w:ilvl="0" w:tplc="1EC48616">
      <w:numFmt w:val="bullet"/>
      <w:lvlText w:val="•"/>
      <w:lvlJc w:val="left"/>
      <w:pPr>
        <w:ind w:left="1080" w:hanging="720"/>
      </w:pPr>
      <w:rPr>
        <w:rFonts w:ascii="Arial" w:eastAsiaTheme="minorEastAsia" w:hAnsi="Arial" w:cs="Arial" w:hint="default"/>
      </w:rPr>
    </w:lvl>
    <w:lvl w:ilvl="1" w:tplc="8CC4E6A4" w:tentative="1">
      <w:start w:val="1"/>
      <w:numFmt w:val="bullet"/>
      <w:lvlText w:val="o"/>
      <w:lvlJc w:val="left"/>
      <w:pPr>
        <w:ind w:left="1440" w:hanging="360"/>
      </w:pPr>
      <w:rPr>
        <w:rFonts w:ascii="Courier New" w:hAnsi="Courier New" w:cs="Courier New" w:hint="default"/>
      </w:rPr>
    </w:lvl>
    <w:lvl w:ilvl="2" w:tplc="B50649C8" w:tentative="1">
      <w:start w:val="1"/>
      <w:numFmt w:val="bullet"/>
      <w:lvlText w:val=""/>
      <w:lvlJc w:val="left"/>
      <w:pPr>
        <w:ind w:left="2160" w:hanging="360"/>
      </w:pPr>
      <w:rPr>
        <w:rFonts w:ascii="Wingdings" w:hAnsi="Wingdings" w:hint="default"/>
      </w:rPr>
    </w:lvl>
    <w:lvl w:ilvl="3" w:tplc="EBC8D8E6" w:tentative="1">
      <w:start w:val="1"/>
      <w:numFmt w:val="bullet"/>
      <w:lvlText w:val=""/>
      <w:lvlJc w:val="left"/>
      <w:pPr>
        <w:ind w:left="2880" w:hanging="360"/>
      </w:pPr>
      <w:rPr>
        <w:rFonts w:ascii="Symbol" w:hAnsi="Symbol" w:hint="default"/>
      </w:rPr>
    </w:lvl>
    <w:lvl w:ilvl="4" w:tplc="A6EC34DC" w:tentative="1">
      <w:start w:val="1"/>
      <w:numFmt w:val="bullet"/>
      <w:lvlText w:val="o"/>
      <w:lvlJc w:val="left"/>
      <w:pPr>
        <w:ind w:left="3600" w:hanging="360"/>
      </w:pPr>
      <w:rPr>
        <w:rFonts w:ascii="Courier New" w:hAnsi="Courier New" w:cs="Courier New" w:hint="default"/>
      </w:rPr>
    </w:lvl>
    <w:lvl w:ilvl="5" w:tplc="5922E57E" w:tentative="1">
      <w:start w:val="1"/>
      <w:numFmt w:val="bullet"/>
      <w:lvlText w:val=""/>
      <w:lvlJc w:val="left"/>
      <w:pPr>
        <w:ind w:left="4320" w:hanging="360"/>
      </w:pPr>
      <w:rPr>
        <w:rFonts w:ascii="Wingdings" w:hAnsi="Wingdings" w:hint="default"/>
      </w:rPr>
    </w:lvl>
    <w:lvl w:ilvl="6" w:tplc="CE926182" w:tentative="1">
      <w:start w:val="1"/>
      <w:numFmt w:val="bullet"/>
      <w:lvlText w:val=""/>
      <w:lvlJc w:val="left"/>
      <w:pPr>
        <w:ind w:left="5040" w:hanging="360"/>
      </w:pPr>
      <w:rPr>
        <w:rFonts w:ascii="Symbol" w:hAnsi="Symbol" w:hint="default"/>
      </w:rPr>
    </w:lvl>
    <w:lvl w:ilvl="7" w:tplc="0DF4B586" w:tentative="1">
      <w:start w:val="1"/>
      <w:numFmt w:val="bullet"/>
      <w:lvlText w:val="o"/>
      <w:lvlJc w:val="left"/>
      <w:pPr>
        <w:ind w:left="5760" w:hanging="360"/>
      </w:pPr>
      <w:rPr>
        <w:rFonts w:ascii="Courier New" w:hAnsi="Courier New" w:cs="Courier New" w:hint="default"/>
      </w:rPr>
    </w:lvl>
    <w:lvl w:ilvl="8" w:tplc="8E1C58BE" w:tentative="1">
      <w:start w:val="1"/>
      <w:numFmt w:val="bullet"/>
      <w:lvlText w:val=""/>
      <w:lvlJc w:val="left"/>
      <w:pPr>
        <w:ind w:left="6480" w:hanging="360"/>
      </w:pPr>
      <w:rPr>
        <w:rFonts w:ascii="Wingdings" w:hAnsi="Wingdings" w:hint="default"/>
      </w:rPr>
    </w:lvl>
  </w:abstractNum>
  <w:abstractNum w:abstractNumId="27" w15:restartNumberingAfterBreak="0">
    <w:nsid w:val="7FCB6DE2"/>
    <w:multiLevelType w:val="hybridMultilevel"/>
    <w:tmpl w:val="0D76C286"/>
    <w:lvl w:ilvl="0" w:tplc="48844F68">
      <w:start w:val="1"/>
      <w:numFmt w:val="decimal"/>
      <w:lvlText w:val="%1."/>
      <w:lvlJc w:val="left"/>
      <w:pPr>
        <w:ind w:left="360" w:hanging="360"/>
      </w:pPr>
    </w:lvl>
    <w:lvl w:ilvl="1" w:tplc="C98A6EBA" w:tentative="1">
      <w:start w:val="1"/>
      <w:numFmt w:val="lowerLetter"/>
      <w:lvlText w:val="%2."/>
      <w:lvlJc w:val="left"/>
      <w:pPr>
        <w:ind w:left="1080" w:hanging="360"/>
      </w:pPr>
    </w:lvl>
    <w:lvl w:ilvl="2" w:tplc="61DEF854" w:tentative="1">
      <w:start w:val="1"/>
      <w:numFmt w:val="lowerRoman"/>
      <w:lvlText w:val="%3."/>
      <w:lvlJc w:val="right"/>
      <w:pPr>
        <w:ind w:left="1800" w:hanging="180"/>
      </w:pPr>
    </w:lvl>
    <w:lvl w:ilvl="3" w:tplc="3B36E9CA" w:tentative="1">
      <w:start w:val="1"/>
      <w:numFmt w:val="decimal"/>
      <w:lvlText w:val="%4."/>
      <w:lvlJc w:val="left"/>
      <w:pPr>
        <w:ind w:left="2520" w:hanging="360"/>
      </w:pPr>
    </w:lvl>
    <w:lvl w:ilvl="4" w:tplc="83A2432A" w:tentative="1">
      <w:start w:val="1"/>
      <w:numFmt w:val="lowerLetter"/>
      <w:lvlText w:val="%5."/>
      <w:lvlJc w:val="left"/>
      <w:pPr>
        <w:ind w:left="3240" w:hanging="360"/>
      </w:pPr>
    </w:lvl>
    <w:lvl w:ilvl="5" w:tplc="2A6E2052" w:tentative="1">
      <w:start w:val="1"/>
      <w:numFmt w:val="lowerRoman"/>
      <w:lvlText w:val="%6."/>
      <w:lvlJc w:val="right"/>
      <w:pPr>
        <w:ind w:left="3960" w:hanging="180"/>
      </w:pPr>
    </w:lvl>
    <w:lvl w:ilvl="6" w:tplc="52A26A14" w:tentative="1">
      <w:start w:val="1"/>
      <w:numFmt w:val="decimal"/>
      <w:lvlText w:val="%7."/>
      <w:lvlJc w:val="left"/>
      <w:pPr>
        <w:ind w:left="4680" w:hanging="360"/>
      </w:pPr>
    </w:lvl>
    <w:lvl w:ilvl="7" w:tplc="F9305400" w:tentative="1">
      <w:start w:val="1"/>
      <w:numFmt w:val="lowerLetter"/>
      <w:lvlText w:val="%8."/>
      <w:lvlJc w:val="left"/>
      <w:pPr>
        <w:ind w:left="5400" w:hanging="360"/>
      </w:pPr>
    </w:lvl>
    <w:lvl w:ilvl="8" w:tplc="E384FA4E" w:tentative="1">
      <w:start w:val="1"/>
      <w:numFmt w:val="lowerRoman"/>
      <w:lvlText w:val="%9."/>
      <w:lvlJc w:val="right"/>
      <w:pPr>
        <w:ind w:left="6120" w:hanging="180"/>
      </w:pPr>
    </w:lvl>
  </w:abstractNum>
  <w:abstractNum w:abstractNumId="28" w15:restartNumberingAfterBreak="0">
    <w:nsid w:val="7FCB6DE3"/>
    <w:multiLevelType w:val="hybridMultilevel"/>
    <w:tmpl w:val="D8FCEDA0"/>
    <w:lvl w:ilvl="0" w:tplc="2A72C808">
      <w:start w:val="1"/>
      <w:numFmt w:val="bullet"/>
      <w:lvlText w:val=""/>
      <w:lvlJc w:val="left"/>
      <w:pPr>
        <w:ind w:left="720" w:hanging="360"/>
      </w:pPr>
      <w:rPr>
        <w:rFonts w:ascii="Symbol" w:hAnsi="Symbol" w:hint="default"/>
      </w:rPr>
    </w:lvl>
    <w:lvl w:ilvl="1" w:tplc="7F94E0AA">
      <w:start w:val="1"/>
      <w:numFmt w:val="bullet"/>
      <w:lvlText w:val="o"/>
      <w:lvlJc w:val="left"/>
      <w:pPr>
        <w:ind w:left="1440" w:hanging="360"/>
      </w:pPr>
      <w:rPr>
        <w:rFonts w:ascii="Courier New" w:hAnsi="Courier New" w:cs="Courier New" w:hint="default"/>
      </w:rPr>
    </w:lvl>
    <w:lvl w:ilvl="2" w:tplc="593498F0" w:tentative="1">
      <w:start w:val="1"/>
      <w:numFmt w:val="bullet"/>
      <w:lvlText w:val=""/>
      <w:lvlJc w:val="left"/>
      <w:pPr>
        <w:ind w:left="2160" w:hanging="360"/>
      </w:pPr>
      <w:rPr>
        <w:rFonts w:ascii="Wingdings" w:hAnsi="Wingdings" w:hint="default"/>
      </w:rPr>
    </w:lvl>
    <w:lvl w:ilvl="3" w:tplc="DF22DCEA" w:tentative="1">
      <w:start w:val="1"/>
      <w:numFmt w:val="bullet"/>
      <w:lvlText w:val=""/>
      <w:lvlJc w:val="left"/>
      <w:pPr>
        <w:ind w:left="2880" w:hanging="360"/>
      </w:pPr>
      <w:rPr>
        <w:rFonts w:ascii="Symbol" w:hAnsi="Symbol" w:hint="default"/>
      </w:rPr>
    </w:lvl>
    <w:lvl w:ilvl="4" w:tplc="A476CB1C" w:tentative="1">
      <w:start w:val="1"/>
      <w:numFmt w:val="bullet"/>
      <w:lvlText w:val="o"/>
      <w:lvlJc w:val="left"/>
      <w:pPr>
        <w:ind w:left="3600" w:hanging="360"/>
      </w:pPr>
      <w:rPr>
        <w:rFonts w:ascii="Courier New" w:hAnsi="Courier New" w:cs="Courier New" w:hint="default"/>
      </w:rPr>
    </w:lvl>
    <w:lvl w:ilvl="5" w:tplc="9E1E93CA" w:tentative="1">
      <w:start w:val="1"/>
      <w:numFmt w:val="bullet"/>
      <w:lvlText w:val=""/>
      <w:lvlJc w:val="left"/>
      <w:pPr>
        <w:ind w:left="4320" w:hanging="360"/>
      </w:pPr>
      <w:rPr>
        <w:rFonts w:ascii="Wingdings" w:hAnsi="Wingdings" w:hint="default"/>
      </w:rPr>
    </w:lvl>
    <w:lvl w:ilvl="6" w:tplc="502C2D3C" w:tentative="1">
      <w:start w:val="1"/>
      <w:numFmt w:val="bullet"/>
      <w:lvlText w:val=""/>
      <w:lvlJc w:val="left"/>
      <w:pPr>
        <w:ind w:left="5040" w:hanging="360"/>
      </w:pPr>
      <w:rPr>
        <w:rFonts w:ascii="Symbol" w:hAnsi="Symbol" w:hint="default"/>
      </w:rPr>
    </w:lvl>
    <w:lvl w:ilvl="7" w:tplc="D8500026" w:tentative="1">
      <w:start w:val="1"/>
      <w:numFmt w:val="bullet"/>
      <w:lvlText w:val="o"/>
      <w:lvlJc w:val="left"/>
      <w:pPr>
        <w:ind w:left="5760" w:hanging="360"/>
      </w:pPr>
      <w:rPr>
        <w:rFonts w:ascii="Courier New" w:hAnsi="Courier New" w:cs="Courier New" w:hint="default"/>
      </w:rPr>
    </w:lvl>
    <w:lvl w:ilvl="8" w:tplc="1196F47C"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5"/>
  </w:num>
  <w:num w:numId="14">
    <w:abstractNumId w:val="19"/>
  </w:num>
  <w:num w:numId="15">
    <w:abstractNumId w:val="23"/>
  </w:num>
  <w:num w:numId="16">
    <w:abstractNumId w:val="14"/>
  </w:num>
  <w:num w:numId="17">
    <w:abstractNumId w:val="16"/>
  </w:num>
  <w:num w:numId="18">
    <w:abstractNumId w:val="24"/>
  </w:num>
  <w:num w:numId="19">
    <w:abstractNumId w:val="11"/>
  </w:num>
  <w:num w:numId="20">
    <w:abstractNumId w:val="21"/>
  </w:num>
  <w:num w:numId="21">
    <w:abstractNumId w:val="18"/>
  </w:num>
  <w:num w:numId="22">
    <w:abstractNumId w:val="22"/>
  </w:num>
  <w:num w:numId="23">
    <w:abstractNumId w:val="20"/>
  </w:num>
  <w:num w:numId="24">
    <w:abstractNumId w:val="13"/>
  </w:num>
  <w:num w:numId="25">
    <w:abstractNumId w:val="15"/>
  </w:num>
  <w:num w:numId="26">
    <w:abstractNumId w:val="17"/>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mailMerge>
    <w:mainDocumentType w:val="formLetters"/>
    <w:dataType w:val="textFile"/>
    <w:connectString w:val=""/>
    <w:activeRecord w:val="-1"/>
    <w:odso/>
  </w:mailMerge>
  <w:documentProtection w:enforcement="0"/>
  <w:autoFormatOverride/>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0C6"/>
    <w:rsid w:val="00C440C6"/>
    <w:rsid w:val="00E32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A2D21A-F267-456B-B472-B0E4DEFA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semiHidden/>
    <w:unhideWhenUsed/>
    <w:qFormat/>
    <w:locked/>
    <w:rsid w:val="00B13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uiPriority w:val="99"/>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locked/>
    <w:rsid w:val="001F6230"/>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F6230"/>
    <w:rPr>
      <w:rFonts w:ascii="Segoe UI" w:hAnsi="Segoe UI" w:cs="Segoe UI"/>
      <w:sz w:val="18"/>
      <w:szCs w:val="18"/>
    </w:rPr>
  </w:style>
  <w:style w:type="character" w:customStyle="1" w:styleId="Heading4Char">
    <w:name w:val="Heading 4 Char"/>
    <w:basedOn w:val="DefaultParagraphFont"/>
    <w:link w:val="Heading4"/>
    <w:uiPriority w:val="9"/>
    <w:semiHidden/>
    <w:rsid w:val="00B13A07"/>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unhideWhenUsed/>
    <w:locked/>
    <w:rsid w:val="00F73E5D"/>
    <w:rPr>
      <w:color w:val="0000FF"/>
      <w:u w:val="single"/>
    </w:rPr>
  </w:style>
  <w:style w:type="table" w:customStyle="1" w:styleId="GridTable2-Accent61">
    <w:name w:val="Grid Table 2 - Accent 61"/>
    <w:basedOn w:val="TableNormal"/>
    <w:uiPriority w:val="47"/>
    <w:rPr>
      <w:rFonts w:eastAsia="Arial"/>
      <w:sz w:val="22"/>
      <w:szCs w:val="22"/>
      <w:lang w:val="en-AU"/>
    </w:rPr>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AF272F"/>
      </w:tcPr>
    </w:tblStylePr>
    <w:tblStylePr w:type="lastRow">
      <w:rPr>
        <w:b/>
        <w:bCs/>
      </w:rPr>
      <w:tblPr/>
      <w:tcPr>
        <w:tcBorders>
          <w:top w:val="double" w:sz="2" w:space="0" w:color="FFFFFF"/>
          <w:bottom w:val="nil"/>
          <w:insideH w:val="nil"/>
          <w:insideV w:val="nil"/>
        </w:tcBorders>
        <w:shd w:val="clear" w:color="auto" w:fill="AF272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GridTable2-Accent6121">
    <w:name w:val="Grid Table 2 - Accent 6121"/>
    <w:basedOn w:val="TableNormal"/>
    <w:uiPriority w:val="47"/>
    <w:rPr>
      <w:rFonts w:eastAsia="Arial"/>
      <w:sz w:val="22"/>
      <w:szCs w:val="22"/>
      <w:lang w:val="en-AU"/>
    </w:rPr>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AF272F"/>
      </w:tcPr>
    </w:tblStylePr>
    <w:tblStylePr w:type="lastRow">
      <w:rPr>
        <w:b/>
        <w:bCs/>
      </w:rPr>
      <w:tblPr/>
      <w:tcPr>
        <w:tcBorders>
          <w:top w:val="double" w:sz="2" w:space="0" w:color="FFFFFF"/>
          <w:bottom w:val="nil"/>
          <w:insideH w:val="nil"/>
          <w:insideV w:val="nil"/>
        </w:tcBorders>
        <w:shd w:val="clear" w:color="auto" w:fill="AF272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GridTable2-Accent612">
    <w:name w:val="Grid Table 2 - Accent 612"/>
    <w:basedOn w:val="TableNormal"/>
    <w:uiPriority w:val="47"/>
    <w:rPr>
      <w:rFonts w:eastAsia="Arial"/>
      <w:sz w:val="22"/>
      <w:szCs w:val="22"/>
      <w:lang w:val="en-AU"/>
    </w:rPr>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AF272F"/>
      </w:tcPr>
    </w:tblStylePr>
    <w:tblStylePr w:type="lastRow">
      <w:rPr>
        <w:b/>
        <w:bCs/>
      </w:rPr>
      <w:tblPr/>
      <w:tcPr>
        <w:tcBorders>
          <w:top w:val="double" w:sz="2" w:space="0" w:color="FFFFFF"/>
          <w:bottom w:val="nil"/>
          <w:insideH w:val="nil"/>
          <w:insideV w:val="nil"/>
        </w:tcBorders>
        <w:shd w:val="clear" w:color="auto" w:fill="AF272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t.vic.edu.au/"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t.vic.edu.au/" TargetMode="External"/><Relationship Id="rId22" Type="http://schemas.openxmlformats.org/officeDocument/2006/relationships/hyperlink" Target="file:///C:\Users\08783417\Downloads\hampdenss.vic.edu.au" TargetMode="External"/><Relationship Id="rId27" Type="http://schemas.openxmlformats.org/officeDocument/2006/relationships/header" Target="header7.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66E8-BEDF-4CC9-A9D0-A0D341F9565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5.xml><?xml version="1.0" encoding="utf-8"?>
<ds:datastoreItem xmlns:ds="http://schemas.openxmlformats.org/officeDocument/2006/customXml" ds:itemID="{4AC1CBDB-8965-4719-B32B-A9E17418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Carter, Kylie M</cp:lastModifiedBy>
  <cp:revision>2</cp:revision>
  <dcterms:created xsi:type="dcterms:W3CDTF">2020-11-20T01:08:00Z</dcterms:created>
  <dcterms:modified xsi:type="dcterms:W3CDTF">2020-11-20T01:08:00Z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